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CAF" w:rsidRPr="00E24096" w:rsidRDefault="00767CAF" w:rsidP="00767CAF">
      <w:pPr>
        <w:pStyle w:val="Title"/>
      </w:pPr>
      <w:bookmarkStart w:id="0" w:name="PutTitleHere"/>
      <w:r w:rsidRPr="00E24096">
        <w:rPr>
          <w:caps w:val="0"/>
          <w:sz w:val="28"/>
        </w:rPr>
        <w:t xml:space="preserve">Superior fuel and operational flexibility of sequential combustion in </w:t>
      </w:r>
      <w:proofErr w:type="spellStart"/>
      <w:r w:rsidRPr="00E24096">
        <w:rPr>
          <w:caps w:val="0"/>
          <w:sz w:val="28"/>
        </w:rPr>
        <w:t>Ansaldo</w:t>
      </w:r>
      <w:proofErr w:type="spellEnd"/>
      <w:r w:rsidRPr="00E24096">
        <w:rPr>
          <w:caps w:val="0"/>
          <w:sz w:val="28"/>
        </w:rPr>
        <w:t xml:space="preserve"> </w:t>
      </w:r>
      <w:proofErr w:type="spellStart"/>
      <w:r w:rsidRPr="00E24096">
        <w:rPr>
          <w:caps w:val="0"/>
          <w:sz w:val="28"/>
        </w:rPr>
        <w:t>Energia</w:t>
      </w:r>
      <w:proofErr w:type="spellEnd"/>
      <w:r w:rsidRPr="00E24096">
        <w:rPr>
          <w:caps w:val="0"/>
          <w:sz w:val="28"/>
        </w:rPr>
        <w:t xml:space="preserve"> gas turbines</w:t>
      </w:r>
      <w:bookmarkEnd w:id="0"/>
      <w:r w:rsidRPr="00E24096">
        <w:rPr>
          <w:caps w:val="0"/>
          <w:sz w:val="28"/>
        </w:rPr>
        <w:t xml:space="preserve"> </w:t>
      </w:r>
    </w:p>
    <w:p w:rsidR="00767CAF" w:rsidRDefault="00767CAF" w:rsidP="00D61F76">
      <w:pPr>
        <w:pStyle w:val="Heading1-topofcolumn"/>
      </w:pPr>
    </w:p>
    <w:p w:rsidR="00D61F76" w:rsidRPr="00E24096" w:rsidRDefault="00D61F76" w:rsidP="00D61F76">
      <w:pPr>
        <w:pStyle w:val="Heading1-topofcolumn"/>
      </w:pPr>
      <w:r w:rsidRPr="00E24096">
        <w:t>Abstract</w:t>
      </w:r>
    </w:p>
    <w:p w:rsidR="00D61F76" w:rsidRPr="00E24096" w:rsidRDefault="00D61F76" w:rsidP="00D61F76">
      <w:pPr>
        <w:pStyle w:val="BodyTextIndent"/>
      </w:pPr>
      <w:r w:rsidRPr="00E24096">
        <w:t>The increasing use of renewables for energy production is also accompanied by an increasing need for flexible power production, while aiming at carbon free emissions. The potential solution</w:t>
      </w:r>
      <w:r>
        <w:t>s</w:t>
      </w:r>
      <w:r w:rsidRPr="00E24096">
        <w:t xml:space="preserve"> of energy storage of excess generation from renewables through hydrogen production and pre-combustion carbon capture are gaining momentum. Both scenarios require gas turbines capable of operation with hydrogen-based fuels. </w:t>
      </w:r>
      <w:r>
        <w:t>At the same time,</w:t>
      </w:r>
      <w:r w:rsidRPr="00E24096">
        <w:t xml:space="preserve"> the composition of natural gas considered for use within gas turbines is becoming significantly more variable due to increased use of liquefied natural gas and a wider range of gas sources and extraction methods. Fuel flexibility, both in terms of the amount of hydrogen and higher hydrocarbons is therefore of utmost importance in modern gas turbine development.</w:t>
      </w:r>
    </w:p>
    <w:p w:rsidR="00D61F76" w:rsidRPr="00E24096" w:rsidRDefault="00D61F76" w:rsidP="00D61F76">
      <w:pPr>
        <w:pStyle w:val="BodyTextIndent"/>
      </w:pPr>
      <w:r w:rsidRPr="00E24096">
        <w:t>This paper provides an overview of key steps taken in the design and development of an operation concept, leveraging the advantage of the GT36 Constant Pressure Sequential Combustion system (CPSC) – a premixed low emission reheat combustion techn</w:t>
      </w:r>
      <w:r>
        <w:t>ology</w:t>
      </w:r>
      <w:r w:rsidRPr="00E24096">
        <w:t>,</w:t>
      </w:r>
      <w:r w:rsidRPr="00E24096" w:rsidDel="0049141B">
        <w:t xml:space="preserve"> </w:t>
      </w:r>
      <w:r w:rsidRPr="00E24096">
        <w:t>characterised by an extremely broad fuel range</w:t>
      </w:r>
      <w:r>
        <w:t xml:space="preserve"> capability</w:t>
      </w:r>
      <w:r w:rsidRPr="00E24096">
        <w:t>, composed of two combustion stages in series.</w:t>
      </w:r>
    </w:p>
    <w:p w:rsidR="00D61F76" w:rsidRPr="00E24096" w:rsidRDefault="00D61F76" w:rsidP="00D61F76">
      <w:pPr>
        <w:pStyle w:val="BodyTextIndent"/>
      </w:pPr>
      <w:r w:rsidRPr="00E24096">
        <w:t>The results presented in this paper clearly show that the complementarity behaviour of first and second combustion stages – extensively proven for fuels containing high concentrations of higher hydrocarbons – can be extended to hydrogen. Ultimately, this allows the achievement of ultra-low emissions at full combustor exit temperature maintaining the power and efficiency performance of F and H class engines. Recent validation performed at the high pressure combustion facility at DLR-Cologne, proved fuel flexibility with minimal or no de-rating with hydrogen contents from 0 to 50% in volume, without any modification of the standard GT36 hardware. Based on the current studies, the flexibility of the GT36 CPSC system is envisaged to enable</w:t>
      </w:r>
      <w:r>
        <w:t xml:space="preserve"> a</w:t>
      </w:r>
      <w:r w:rsidRPr="00E24096">
        <w:t xml:space="preserve"> further increase in hydrogen content allowing this H class engine to be operated with 100% hydrogen.</w:t>
      </w:r>
    </w:p>
    <w:p w:rsidR="00D61F76" w:rsidRPr="00E24096" w:rsidRDefault="00D61F76" w:rsidP="00D61F76">
      <w:pPr>
        <w:pStyle w:val="Heading1"/>
      </w:pPr>
      <w:r w:rsidRPr="00E24096">
        <w:t>INTRODUCTION</w:t>
      </w:r>
    </w:p>
    <w:p w:rsidR="00D61F76" w:rsidRPr="00E24096" w:rsidRDefault="00D61F76" w:rsidP="00D61F76">
      <w:pPr>
        <w:pStyle w:val="BodyTextIndent"/>
      </w:pPr>
      <w:r w:rsidRPr="00E24096">
        <w:t xml:space="preserve">The world of power generation is changing rapidly. Analyses of future electricity generation predict renewables and natural gas to have the highest growth of all fuels in the coming decades. According to the reference scenario in the International Energy Outlook 2017 (IEO, 2017), their combined share is increasing to 57% in 2040, 26% being covered by natural gas, i.e. gas turbines. As gas turbines are anticipated to play such a major role in the future energy mix, and in the change-over to renewables, it is of utmost importance to further enhance the efficiency and to reduce the emissions of gas turbine power plants. Additionally, gas turbines need to exhibit outstanding fuel and operational flexibility, in order to compensate for intermittent power production from renewables (Wang et al, 2012). In this context, fuel flexibility does not only include strongly varying compositions of natural gas but also less traditional fuels. Two such examples are hydrogen enriched fuels, derived from the storage of excess renewable generating capacity in </w:t>
      </w:r>
      <w:r>
        <w:t>form</w:t>
      </w:r>
      <w:r w:rsidRPr="00E24096">
        <w:t xml:space="preserve"> of hydrogen, and very low calorific value fuels from waste processes or biomass gasification.</w:t>
      </w:r>
    </w:p>
    <w:p w:rsidR="00D61F76" w:rsidRPr="00E24096" w:rsidRDefault="00D61F76" w:rsidP="00D61F76">
      <w:pPr>
        <w:pStyle w:val="BodyTextIndent"/>
      </w:pPr>
      <w:r w:rsidRPr="00E24096">
        <w:t xml:space="preserve">Efficient, ultra-low emission gas turbines are key to meet the global challenges of reliable energy production and to minimise the environmental impact of power generation. The need for efficiency and power increase calls for increasing firing temperatures. This in turn requires extremely short combustion chambers and rapid mixing, so that the post-flame residence times are sufficiently low to keep detrimental NOx emissions below the limits. On the other hand, part-load </w:t>
      </w:r>
      <w:r>
        <w:t>carbon monoxide (</w:t>
      </w:r>
      <w:r w:rsidRPr="00E24096">
        <w:t>CO</w:t>
      </w:r>
      <w:r>
        <w:t>)</w:t>
      </w:r>
      <w:r w:rsidRPr="00E24096">
        <w:t xml:space="preserve"> burn-out has to be guaranteed as well, which is diametrically opposed to having short combustors. To accomplish this goal, the reheat combustion principle is best suited. </w:t>
      </w:r>
      <w:proofErr w:type="spellStart"/>
      <w:r w:rsidRPr="00E24096">
        <w:t>Ansaldo</w:t>
      </w:r>
      <w:proofErr w:type="spellEnd"/>
      <w:r w:rsidRPr="00E24096">
        <w:t xml:space="preserve"> </w:t>
      </w:r>
      <w:proofErr w:type="spellStart"/>
      <w:r w:rsidRPr="00E24096">
        <w:t>Energia’s</w:t>
      </w:r>
      <w:proofErr w:type="spellEnd"/>
      <w:r w:rsidRPr="00E24096">
        <w:t xml:space="preserve"> reheat gas turbines consist of two combustion chambers arranged in series (</w:t>
      </w:r>
      <w:proofErr w:type="spellStart"/>
      <w:r w:rsidRPr="00E24096">
        <w:t>Güthe</w:t>
      </w:r>
      <w:proofErr w:type="spellEnd"/>
      <w:r w:rsidRPr="00E24096">
        <w:t xml:space="preserve"> et al, 2009, </w:t>
      </w:r>
      <w:proofErr w:type="spellStart"/>
      <w:r w:rsidRPr="00E24096">
        <w:t>Düsing</w:t>
      </w:r>
      <w:proofErr w:type="spellEnd"/>
      <w:r w:rsidRPr="00E24096">
        <w:t xml:space="preserve"> et al, 2013, Pennell et al, 2017, </w:t>
      </w:r>
      <w:proofErr w:type="spellStart"/>
      <w:r w:rsidRPr="00E24096">
        <w:t>Zahirovic</w:t>
      </w:r>
      <w:proofErr w:type="spellEnd"/>
      <w:r w:rsidRPr="00E24096">
        <w:t xml:space="preserve"> </w:t>
      </w:r>
      <w:r>
        <w:t>and Knapp</w:t>
      </w:r>
      <w:r w:rsidRPr="00E24096">
        <w:t xml:space="preserve">, 2017, </w:t>
      </w:r>
      <w:proofErr w:type="spellStart"/>
      <w:r w:rsidRPr="00E24096">
        <w:t>Konduri</w:t>
      </w:r>
      <w:proofErr w:type="spellEnd"/>
      <w:r w:rsidRPr="00E24096">
        <w:t xml:space="preserve"> et al, 2018). For such a reheat engine, the second combustor can be switched off allowing the engine to be parked at extremely low loads. This is an unbeatable advantage during the times the renewables satisfy the energy demand. In this scenario, the gas turbine can be operated at very low loads and when required is able to deliver power very fast because it does not need to be switched on first. In contrast to this, single combustor gas turbines cannot be turned down to similarly low levels and eventually would have to be turned off with the disadvantage of requiring longer time to get to </w:t>
      </w:r>
      <w:r>
        <w:t>base</w:t>
      </w:r>
      <w:r w:rsidRPr="00E24096">
        <w:t xml:space="preserve"> load and penalties in engine lifetime due to start-stop cycles.</w:t>
      </w:r>
    </w:p>
    <w:p w:rsidR="00D61F76" w:rsidRPr="00E24096" w:rsidRDefault="00D61F76" w:rsidP="00D61F76">
      <w:pPr>
        <w:pStyle w:val="BodyTextIndent"/>
      </w:pPr>
      <w:r w:rsidRPr="00E24096">
        <w:t xml:space="preserve">In </w:t>
      </w:r>
      <w:r>
        <w:t>this paper</w:t>
      </w:r>
      <w:r w:rsidRPr="00E24096">
        <w:t>, the reheat concept is explained in general and its benefit to burn highly reactive fuels and/or fuels of different reactivity</w:t>
      </w:r>
      <w:r>
        <w:t xml:space="preserve"> is shown. In particular the capability of addressing a broad range of fuel reactivity</w:t>
      </w:r>
      <w:r w:rsidRPr="00E24096">
        <w:t xml:space="preserve"> with the same hardware is considered. </w:t>
      </w:r>
      <w:r>
        <w:t>D</w:t>
      </w:r>
      <w:r w:rsidRPr="00E24096">
        <w:t>ifferent steps in the combustor development process are described. Firstly, reaction kinetics is used to achieve a detailed understanding of the effect of different fuel reactivity on reheat flame stabilisation. This 1D assessment is further developed with CFD models to obtain full-scale burner geometries. Finally, high pressure combustion tests are conducted for validation of the full-scale engine geometry.</w:t>
      </w:r>
    </w:p>
    <w:p w:rsidR="00D61F76" w:rsidRPr="00E24096" w:rsidRDefault="00D61F76" w:rsidP="00D61F76">
      <w:pPr>
        <w:pStyle w:val="Heading1"/>
      </w:pPr>
      <w:r w:rsidRPr="00E24096">
        <w:lastRenderedPageBreak/>
        <w:t>REHEAT ADVANTAGE FOR FUEL FLEXIBILITY</w:t>
      </w:r>
    </w:p>
    <w:p w:rsidR="00D61F76" w:rsidRPr="00E24096" w:rsidRDefault="00D61F76" w:rsidP="00D61F76">
      <w:pPr>
        <w:pStyle w:val="BodyTextIndent"/>
      </w:pPr>
      <w:proofErr w:type="spellStart"/>
      <w:r w:rsidRPr="00E24096">
        <w:t>Ansaldo</w:t>
      </w:r>
      <w:proofErr w:type="spellEnd"/>
      <w:r w:rsidRPr="00E24096">
        <w:t xml:space="preserve"> </w:t>
      </w:r>
      <w:proofErr w:type="spellStart"/>
      <w:r w:rsidRPr="00E24096">
        <w:t>Energia’s</w:t>
      </w:r>
      <w:proofErr w:type="spellEnd"/>
      <w:r w:rsidRPr="00E24096">
        <w:t xml:space="preserve"> GT26 and GT36 gas turbines feature sequential combustion technology, enabling higher firing temperatures, lower emissions and increased operational and fuel flexibility.</w:t>
      </w:r>
    </w:p>
    <w:p w:rsidR="00D61F76" w:rsidRPr="00E24096" w:rsidRDefault="00D61F76" w:rsidP="00D61F76">
      <w:pPr>
        <w:pStyle w:val="BodyTextIndent"/>
      </w:pPr>
      <w:r w:rsidRPr="00E24096">
        <w:t>In the GT26, sequential combustion is implemented with two</w:t>
      </w:r>
      <w:r>
        <w:t xml:space="preserve"> combustion stages</w:t>
      </w:r>
      <w:r w:rsidRPr="00E24096">
        <w:t xml:space="preserve"> separated by a high pressure turbine: the first stage (EV)</w:t>
      </w:r>
      <w:r>
        <w:t xml:space="preserve"> operates at pressures over 30 b</w:t>
      </w:r>
      <w:r w:rsidRPr="00E24096">
        <w:t>ar, while the second stage (SEV) operates at roughly half of the EV pressure (</w:t>
      </w:r>
      <w:proofErr w:type="spellStart"/>
      <w:r w:rsidRPr="00E24096">
        <w:t>Güthe</w:t>
      </w:r>
      <w:proofErr w:type="spellEnd"/>
      <w:r w:rsidRPr="00E24096">
        <w:t xml:space="preserve"> et al, 2009). In the GT36 no high pressure (HP) turbine was implemented, nevertheless the sequential combustion concept and its associated benefits were maintained. In this case, the two combustion stages operate at similar pressure (CPSC: Constant Pressure Sequential Combustion) (Pennell et al, 2017).</w:t>
      </w:r>
    </w:p>
    <w:p w:rsidR="00D61F76" w:rsidRPr="00E24096" w:rsidRDefault="00D61F76" w:rsidP="00D61F76">
      <w:pPr>
        <w:pStyle w:val="BodyTextIndent"/>
      </w:pPr>
      <w:r w:rsidRPr="00E24096">
        <w:t>In a traditional premix gas turbine combustor, a change in fuel reactivity implies a change in flame location. In particular, higher fuel reactivity forces the flame to move upstream, increasing NOx emissions, and potentially overheating the burner, while lower fuel reactivity results in the opposite and pushes the flame downstream, increasing CO and unburned hydrocarbons emissions due to the insufficient burnout time.</w:t>
      </w:r>
    </w:p>
    <w:p w:rsidR="002E6F52" w:rsidRDefault="00D61F76" w:rsidP="002E6F52">
      <w:pPr>
        <w:pStyle w:val="BodyTextIndent"/>
      </w:pPr>
      <w:r w:rsidRPr="00E24096">
        <w:t xml:space="preserve">Sequential combustion overcomes this issue by adapting the flame temperature of the first stage (FS) while keeping the overall combustor exit temperature constant (Figure </w:t>
      </w:r>
      <w:r>
        <w:t>1</w:t>
      </w:r>
      <w:r w:rsidRPr="00E24096">
        <w:t>):</w:t>
      </w:r>
    </w:p>
    <w:p w:rsidR="002E6F52" w:rsidRDefault="00D61F76" w:rsidP="002E6F52">
      <w:pPr>
        <w:pStyle w:val="BodyTextIndent"/>
        <w:numPr>
          <w:ilvl w:val="0"/>
          <w:numId w:val="3"/>
        </w:numPr>
        <w:ind w:left="426" w:hanging="371"/>
        <w:rPr>
          <w:b/>
          <w:caps/>
        </w:rPr>
      </w:pPr>
      <w:r w:rsidRPr="00E24096">
        <w:t xml:space="preserve">For a more reactive fuel (e.g. fuels containing large quantities of either higher hydrocarbons or hydrogen) the location of the flames would move upstream potentially being too close to the burner exit (the red curves in </w:t>
      </w:r>
      <w:r w:rsidRPr="004E2153">
        <w:t>Figure</w:t>
      </w:r>
      <w:r w:rsidRPr="00E24096">
        <w:t xml:space="preserve"> </w:t>
      </w:r>
      <w:r w:rsidRPr="004E2153">
        <w:t>1</w:t>
      </w:r>
      <w:r w:rsidRPr="00E24096">
        <w:t>). For a sequential combustion system this is avoided by dropping the first stage flame temperature (green curve). The effect of higher fuel reactivity is compensated by lowering the temperature and as a result the flame is maintained at its optimal location. Consequently, the lower first stage temperature causes also a drop in the second stage inlet temperature called MET = Mixer Exit Temperature</w:t>
      </w:r>
      <w:r>
        <w:t xml:space="preserve"> (where dilution a</w:t>
      </w:r>
      <w:r w:rsidRPr="00E24096">
        <w:t xml:space="preserve">ir mixes with first stage flue gases). Since the </w:t>
      </w:r>
      <w:r>
        <w:t>s</w:t>
      </w:r>
      <w:r w:rsidRPr="00E24096">
        <w:t xml:space="preserve">equential </w:t>
      </w:r>
      <w:r>
        <w:t>b</w:t>
      </w:r>
      <w:r w:rsidRPr="00E24096">
        <w:t xml:space="preserve">urner (SB) flame is mainly </w:t>
      </w:r>
      <w:r>
        <w:t>auto-ignition stabilis</w:t>
      </w:r>
      <w:r w:rsidRPr="00E24096">
        <w:t>ed, its flame position is driven by its inlet temperature and not its exit temperature, in contrast to the case of</w:t>
      </w:r>
      <w:r>
        <w:t xml:space="preserve"> propagation stabilis</w:t>
      </w:r>
      <w:r w:rsidRPr="00E24096">
        <w:t>ed flames. Therefore a drop of MET compensates the higher fuel reactivity, maintaining the optimal flame location and the original desired flame temperature without compromising engine performance. This also allows the turbine inlet temperature to be held constant.</w:t>
      </w:r>
    </w:p>
    <w:p w:rsidR="00D61F76" w:rsidRPr="002E6F52" w:rsidRDefault="00D61F76" w:rsidP="002E6F52">
      <w:pPr>
        <w:pStyle w:val="BodyTextIndent"/>
        <w:numPr>
          <w:ilvl w:val="0"/>
          <w:numId w:val="3"/>
        </w:numPr>
        <w:ind w:left="426" w:hanging="371"/>
        <w:rPr>
          <w:b/>
          <w:caps/>
        </w:rPr>
      </w:pPr>
      <w:r w:rsidRPr="00E24096">
        <w:t xml:space="preserve">For a less reactive fuel as </w:t>
      </w:r>
      <w:r>
        <w:t xml:space="preserve">e.g. </w:t>
      </w:r>
      <w:r w:rsidRPr="00E24096">
        <w:t xml:space="preserve">natural gas with minimal or no hydrogen or higher hydrocarbons, the first stage can be operated at </w:t>
      </w:r>
      <w:r>
        <w:t xml:space="preserve">a </w:t>
      </w:r>
      <w:r w:rsidRPr="00E24096">
        <w:t>higher temperature. Analogous to the case described above, the change of flame temperature in the first stage compensates the changed fuel reactivity on both first and second stage</w:t>
      </w:r>
      <w:r>
        <w:t>s</w:t>
      </w:r>
      <w:r w:rsidRPr="00E24096">
        <w:t>, again maintaining overall performance and emissions.</w:t>
      </w:r>
    </w:p>
    <w:p w:rsidR="00D61F76" w:rsidRPr="00E24096" w:rsidRDefault="00D61F76" w:rsidP="00D61F76">
      <w:pPr>
        <w:pStyle w:val="BodyTextIndent"/>
      </w:pPr>
      <w:r w:rsidRPr="00E24096">
        <w:t>Adapting the fuel ratio between first stage and second stage for optimum combustion performance was also extensively applied to high hydrocarbons within GT26 fleet (</w:t>
      </w:r>
      <w:proofErr w:type="spellStart"/>
      <w:r w:rsidRPr="00E24096">
        <w:t>Riccius</w:t>
      </w:r>
      <w:proofErr w:type="spellEnd"/>
      <w:r w:rsidRPr="00E24096">
        <w:t xml:space="preserve"> et al, 2005, Wind et al, 2014).</w:t>
      </w:r>
    </w:p>
    <w:p w:rsidR="00D61F76" w:rsidRDefault="00D61F76" w:rsidP="00D61F76">
      <w:pPr>
        <w:pStyle w:val="Heading1"/>
      </w:pPr>
      <w:r w:rsidRPr="00E24096">
        <w:t>REACTION KINETICS</w:t>
      </w:r>
    </w:p>
    <w:p w:rsidR="00D61F76" w:rsidRPr="00654AC9" w:rsidRDefault="00D61F76" w:rsidP="00D61F76">
      <w:pPr>
        <w:spacing w:after="120"/>
        <w:ind w:firstLine="142"/>
      </w:pPr>
      <w:r>
        <w:t xml:space="preserve">In this section chemical kinetic calculations are presented to show the impact of pressure and temperature on the auto-ignition time. It is the auto-ignition </w:t>
      </w:r>
      <w:r w:rsidR="00925985">
        <w:t xml:space="preserve">time </w:t>
      </w:r>
      <w:r>
        <w:t>that is the relevant parameter for the second stage operation and understanding its variation with fuel composition allows the targeted range of fuels to be burned in the existing CPSC hardware.</w:t>
      </w:r>
    </w:p>
    <w:p w:rsidR="00D61F76" w:rsidRPr="00E24096" w:rsidRDefault="00D61F76" w:rsidP="00D61F76">
      <w:pPr>
        <w:pStyle w:val="Heading2"/>
        <w:spacing w:before="120"/>
      </w:pPr>
      <w:r w:rsidRPr="00E24096">
        <w:t>Model Description</w:t>
      </w:r>
    </w:p>
    <w:p w:rsidR="00D61F76" w:rsidRPr="00E24096" w:rsidRDefault="00D61F76" w:rsidP="00D61F76">
      <w:pPr>
        <w:spacing w:after="120"/>
        <w:ind w:firstLine="142"/>
      </w:pPr>
      <w:r w:rsidRPr="00E24096">
        <w:t xml:space="preserve">The behaviour of the </w:t>
      </w:r>
      <w:r>
        <w:t>auto-</w:t>
      </w:r>
      <w:r w:rsidRPr="00E24096">
        <w:t xml:space="preserve">ignition delay time for </w:t>
      </w:r>
      <w:r>
        <w:t>various</w:t>
      </w:r>
      <w:r w:rsidRPr="00E24096">
        <w:t xml:space="preserve"> fuel types has been studied in the context of the GT36 CPSC system using chemical kinetic analysis. A reactor network was set up representing the CPSC system as shown in Figure </w:t>
      </w:r>
      <w:r>
        <w:rPr>
          <w:noProof/>
        </w:rPr>
        <w:t>2</w:t>
      </w:r>
      <w:r w:rsidRPr="00E24096">
        <w:t>.</w:t>
      </w:r>
      <w:r>
        <w:t xml:space="preserve"> The FS</w:t>
      </w:r>
      <w:r w:rsidRPr="00E24096">
        <w:t xml:space="preserve"> exit temperature is obtained from equilibrium calculations. Mixing then occurs between the output of the FS calculation and dilution air injected downstream of the burner; the resulting mixture defines the MET (second stage inlet temperature). The second stage fuel and cooling air is added into this hot gas mixture for the </w:t>
      </w:r>
      <w:r>
        <w:t>auto-</w:t>
      </w:r>
      <w:r w:rsidRPr="00E24096">
        <w:t xml:space="preserve">ignition delay time calculations (SB Mixture). In the situation where the MET changes and the reactor exit temperature is fixed, the air and fuel mass flow rates also change, thus the unburned mixture temperature in the reactor varies. The </w:t>
      </w:r>
      <w:r>
        <w:t>auto-</w:t>
      </w:r>
      <w:r w:rsidRPr="00E24096">
        <w:t xml:space="preserve">ignition delay time in the second stage is obtained by running a perfectly stirred reactor (PSR) simulation using </w:t>
      </w:r>
      <w:proofErr w:type="spellStart"/>
      <w:r w:rsidRPr="00E24096">
        <w:t>Cantera</w:t>
      </w:r>
      <w:proofErr w:type="spellEnd"/>
      <w:r w:rsidRPr="00E24096">
        <w:t xml:space="preserve"> (</w:t>
      </w:r>
      <w:r w:rsidRPr="00E24096">
        <w:rPr>
          <w:color w:val="222222"/>
          <w:shd w:val="clear" w:color="auto" w:fill="FFFFFF"/>
        </w:rPr>
        <w:t>Goodwin, 2009</w:t>
      </w:r>
      <w:r w:rsidRPr="00E24096">
        <w:t>) with the AramcoMech1.3 reaction scheme (Metcalfe et al, 2013).</w:t>
      </w:r>
    </w:p>
    <w:p w:rsidR="00D61F76" w:rsidRPr="00E24096" w:rsidRDefault="00D61F76" w:rsidP="00D61F76">
      <w:pPr>
        <w:pStyle w:val="Heading2"/>
      </w:pPr>
      <w:r w:rsidRPr="00E24096">
        <w:t>Chemical Kinetics Results</w:t>
      </w:r>
    </w:p>
    <w:p w:rsidR="00D61F76" w:rsidRPr="00E24096" w:rsidRDefault="00D61F76" w:rsidP="00D61F76">
      <w:pPr>
        <w:pStyle w:val="Heading3"/>
      </w:pPr>
      <w:r w:rsidRPr="00E24096">
        <w:t>Pressure dependence</w:t>
      </w:r>
    </w:p>
    <w:p w:rsidR="00D61F76" w:rsidRPr="00E24096" w:rsidRDefault="00D61F76" w:rsidP="00D61F76">
      <w:pPr>
        <w:spacing w:after="120"/>
        <w:ind w:firstLine="142"/>
      </w:pPr>
      <w:r w:rsidRPr="00E24096">
        <w:t xml:space="preserve">The influence of pressure on various fuel compositions has been thoroughly assessed to ensure robust burner operation over the entire engine relative load range. From Figure </w:t>
      </w:r>
      <w:r>
        <w:rPr>
          <w:noProof/>
        </w:rPr>
        <w:t>3</w:t>
      </w:r>
      <w:r w:rsidRPr="00E24096">
        <w:t xml:space="preserve"> it can be noted that for hydrocarbons, the </w:t>
      </w:r>
      <w:r>
        <w:t>auto-</w:t>
      </w:r>
      <w:r w:rsidRPr="00E24096">
        <w:t xml:space="preserve">ignition delay time reduces with pressure; however, for fuels containing hydrogen, the trend is different. In particular, for elevated hydrogen contents, the </w:t>
      </w:r>
      <w:r>
        <w:t>auto-</w:t>
      </w:r>
      <w:r w:rsidRPr="00E24096">
        <w:t xml:space="preserve">ignition delay time is lowest at lower pressures (&lt; 10 </w:t>
      </w:r>
      <w:r>
        <w:t>b</w:t>
      </w:r>
      <w:r w:rsidRPr="00E24096">
        <w:t xml:space="preserve">ar), corresponding to an engine relative load at which the second stage is not in operation. At higher loads (and pressures), the auto-ignition time increases again, becoming almost pressure independent beyond ~16 </w:t>
      </w:r>
      <w:r>
        <w:t>b</w:t>
      </w:r>
      <w:r w:rsidRPr="00E24096">
        <w:t>ar.</w:t>
      </w:r>
    </w:p>
    <w:p w:rsidR="00D61F76" w:rsidRPr="00E24096" w:rsidRDefault="00D61F76" w:rsidP="00D61F76">
      <w:pPr>
        <w:pStyle w:val="Heading3"/>
      </w:pPr>
      <w:r w:rsidRPr="00E24096">
        <w:t>MET dependence</w:t>
      </w:r>
    </w:p>
    <w:p w:rsidR="00D61F76" w:rsidRPr="00E24096" w:rsidRDefault="00D61F76" w:rsidP="00B2336A">
      <w:pPr>
        <w:ind w:firstLine="284"/>
      </w:pPr>
      <w:r w:rsidRPr="00E24096">
        <w:t xml:space="preserve">In sequential combustion, the position of the second stage flame is mainly driven by auto-ignition. To keep the flame outside of the burner mixing section, the auto-ignition delay time is used as a design parameter. In Figure </w:t>
      </w:r>
      <w:r>
        <w:rPr>
          <w:noProof/>
        </w:rPr>
        <w:t>4</w:t>
      </w:r>
      <w:r w:rsidRPr="00E24096">
        <w:t xml:space="preserve">, the design auto-ignition delay </w:t>
      </w:r>
      <w:r w:rsidRPr="00E24096">
        <w:lastRenderedPageBreak/>
        <w:t>time is given as the operation line. The auto-ignition delay time varies for different fuels at given operating conditions. Pure methane is less reactive compared to fuels containing higher hydrocarbons, hydrogen, or methane/hydrogen blends. To compensate this difference in reactivity, the MET can be either increased or reduced to ensure operation at the target auto-ignition delay time as depicted by the operation line, so that the flame position can be held constant for a wide fuel reactivity range.</w:t>
      </w:r>
    </w:p>
    <w:p w:rsidR="00D61F76" w:rsidRDefault="00D61F76" w:rsidP="00B2336A">
      <w:pPr>
        <w:pStyle w:val="BodyTextIndent"/>
        <w:ind w:firstLine="357"/>
      </w:pPr>
      <w:r w:rsidRPr="00E24096">
        <w:t xml:space="preserve">The MET control space for methane/hydrogen/higher hydrocarbon mixtures is shown in Figure </w:t>
      </w:r>
      <w:r>
        <w:rPr>
          <w:noProof/>
        </w:rPr>
        <w:t>5</w:t>
      </w:r>
      <w:r w:rsidRPr="00E24096">
        <w:t>. Fuels with high concentration of higher hydrocarbons and hydrogen can be robustly burned in the sequential combustion system at reduced MET.</w:t>
      </w:r>
    </w:p>
    <w:p w:rsidR="00D61F76" w:rsidRPr="00E24096" w:rsidRDefault="00D61F76" w:rsidP="00D61F76">
      <w:pPr>
        <w:pStyle w:val="BodyTextIndent"/>
      </w:pPr>
      <w:r w:rsidRPr="00E24096">
        <w:t>Alternatively, for low reactivity fuels (low concentrations of higher hydrocarbons and/or hydrogen) the MET is increased to maintain the target operational auto-ignition delay time (operation line).</w:t>
      </w:r>
    </w:p>
    <w:p w:rsidR="00D61F76" w:rsidRPr="00E24096" w:rsidRDefault="00D61F76" w:rsidP="00D61F76">
      <w:pPr>
        <w:ind w:firstLine="284"/>
      </w:pPr>
      <w:r w:rsidRPr="00E24096">
        <w:t xml:space="preserve">A range of ± 100K from the nominal MET allows operation of the second stage with the entire methane/hydrogen fuel mixture range as depicted in Figure </w:t>
      </w:r>
      <w:r>
        <w:rPr>
          <w:noProof/>
        </w:rPr>
        <w:t>5</w:t>
      </w:r>
      <w:r w:rsidRPr="00E24096">
        <w:t xml:space="preserve">. For a given MET, the combustor exit temperature is maintained by adding </w:t>
      </w:r>
      <w:r>
        <w:t xml:space="preserve">or subtracting </w:t>
      </w:r>
      <w:r w:rsidRPr="00E24096">
        <w:t>fuel to the second stage.</w:t>
      </w:r>
    </w:p>
    <w:p w:rsidR="00D61F76" w:rsidRPr="00E24096" w:rsidRDefault="00D61F76" w:rsidP="00F253F2">
      <w:pPr>
        <w:spacing w:after="120"/>
        <w:ind w:firstLine="284"/>
      </w:pPr>
      <w:r w:rsidRPr="00E24096">
        <w:t xml:space="preserve">Figure </w:t>
      </w:r>
      <w:r>
        <w:rPr>
          <w:noProof/>
        </w:rPr>
        <w:t>6</w:t>
      </w:r>
      <w:r w:rsidRPr="00E24096">
        <w:t xml:space="preserve"> shows how the sensitivity of auto-ignition delay time to MET enables consistent burner operation for a wide range of fuel compositions. The horizontal dashed line shown in the figure represents the desired </w:t>
      </w:r>
      <w:r>
        <w:t>auto-</w:t>
      </w:r>
      <w:r w:rsidRPr="00E24096">
        <w:t xml:space="preserve">ignition delay time, i.e. flame position, for optimal combustion performance, while the three solid lines represent the auto-ignition delay times at three MET levels. It can be seen from the figure that by adjusting the MET within this range it is possible to achieve the optimal </w:t>
      </w:r>
      <w:r>
        <w:t>auto-</w:t>
      </w:r>
      <w:r w:rsidRPr="00E24096">
        <w:t>ignition delay time for the entire range of methane/hydrogen mixtures. The figure also indicates the insensitivity of the auto-ignition delay time to the flame temperature, represented by the red dashed curves, indicating that the combustor exit temperature, hence engine performance and efficiency, does not need to be adjusted to compensate a change in fuel reactivity.</w:t>
      </w:r>
    </w:p>
    <w:p w:rsidR="00D61F76" w:rsidRPr="00E24096" w:rsidRDefault="00D61F76" w:rsidP="00D61F76">
      <w:pPr>
        <w:pStyle w:val="Heading1"/>
      </w:pPr>
      <w:r w:rsidRPr="00E24096">
        <w:t>RAPID MIXING DESIGN</w:t>
      </w:r>
    </w:p>
    <w:p w:rsidR="00D61F76" w:rsidRPr="00E24096" w:rsidRDefault="00D61F76" w:rsidP="00D61F76">
      <w:pPr>
        <w:pStyle w:val="BodyTextIndent"/>
        <w:ind w:firstLine="426"/>
      </w:pPr>
      <w:r w:rsidRPr="00E24096">
        <w:t>The use of inline injection combined with small scale mixing devices in the sequential burner (Pennell et al, 2017) allows the burner to operate on a wide range of fuel types without substantial change in the mixing quality. It has been shown that the mixing of an inline injector is largely independent from the momentum flux of the injected fuel (</w:t>
      </w:r>
      <w:proofErr w:type="spellStart"/>
      <w:r w:rsidRPr="00E24096">
        <w:t>Poyyapakkam</w:t>
      </w:r>
      <w:proofErr w:type="spellEnd"/>
      <w:r w:rsidRPr="00E24096">
        <w:t xml:space="preserve"> et al, 2012) and for this reason the performance of the burner, in terms of emissions, remains constant across a large range of fuel types and temperatures. By placing the mixing elements carefully in relation to the injectors it is possible to achieve rapid high quality mixing between the fuel and air. This optimisation of the placement of the mixing devices relative to the injectors means that the majority of the induced pressure drop is used to drive the mixing process; allowing high quality mixing for a moderate burner pressure drop. The careful design of the interaction between the induced vorticity field from these mixing elements and the fuel jet ensures mixing is maintained as the fuel type changes. The development of such a burner concept is considered in more detail in a previous paper (</w:t>
      </w:r>
      <w:proofErr w:type="spellStart"/>
      <w:r w:rsidRPr="00E24096">
        <w:t>Poyyapakkam</w:t>
      </w:r>
      <w:proofErr w:type="spellEnd"/>
      <w:r w:rsidRPr="00E24096">
        <w:t xml:space="preserve"> et al, 2012).</w:t>
      </w:r>
    </w:p>
    <w:p w:rsidR="00D61F76" w:rsidRDefault="00D61F76" w:rsidP="00B2336A">
      <w:pPr>
        <w:ind w:firstLine="425"/>
      </w:pPr>
      <w:r w:rsidRPr="00E24096">
        <w:t xml:space="preserve">Analysis of </w:t>
      </w:r>
      <w:r>
        <w:t xml:space="preserve">the sequential </w:t>
      </w:r>
      <w:r w:rsidRPr="00E24096">
        <w:t xml:space="preserve">burner has been performed using computational fluid dynamics for various fuel compositions and heating values </w:t>
      </w:r>
      <w:r>
        <w:t>(</w:t>
      </w:r>
      <w:r w:rsidRPr="00E24096">
        <w:t xml:space="preserve">Table </w:t>
      </w:r>
      <w:r>
        <w:t>1)</w:t>
      </w:r>
      <w:r w:rsidRPr="00E24096">
        <w:t xml:space="preserve">. The reacting flow was assessed with FLUENT 18.2 using </w:t>
      </w:r>
      <w:proofErr w:type="spellStart"/>
      <w:r w:rsidRPr="00E24096">
        <w:t>Ansaldo</w:t>
      </w:r>
      <w:proofErr w:type="spellEnd"/>
      <w:r w:rsidRPr="00E24096">
        <w:t xml:space="preserve"> </w:t>
      </w:r>
      <w:proofErr w:type="spellStart"/>
      <w:r w:rsidRPr="00E24096">
        <w:t>Energia’s</w:t>
      </w:r>
      <w:proofErr w:type="spellEnd"/>
      <w:r w:rsidRPr="00E24096">
        <w:t xml:space="preserve"> reheat combustion model (Kulkarni et al, 2014, Kulkarni et al, 2015) including further developments to </w:t>
      </w:r>
      <w:r>
        <w:t>predict</w:t>
      </w:r>
      <w:r w:rsidRPr="00E24096">
        <w:t xml:space="preserve"> propagation effects as suggested in (Kulkarni et al, 2017). </w:t>
      </w:r>
      <w:r>
        <w:t xml:space="preserve">The combustion model utilises a progress variable approach with tabulated chemistry derived from auto-ignition reactors and the “presumed pdf” method for turbulence-chemistry interaction. </w:t>
      </w:r>
      <w:r w:rsidRPr="00E24096">
        <w:t>To model the turbulence</w:t>
      </w:r>
      <w:r>
        <w:t>,</w:t>
      </w:r>
      <w:r w:rsidRPr="00E24096">
        <w:t xml:space="preserve"> the reali</w:t>
      </w:r>
      <w:r>
        <w:t>s</w:t>
      </w:r>
      <w:r w:rsidRPr="00E24096">
        <w:t xml:space="preserve">able </w:t>
      </w:r>
      <w:r w:rsidRPr="00E24096">
        <w:rPr>
          <w:i/>
        </w:rPr>
        <w:t>k</w:t>
      </w:r>
      <w:r w:rsidRPr="00E24096">
        <w:t>-</w:t>
      </w:r>
      <w:r w:rsidRPr="00E24096">
        <w:rPr>
          <w:rFonts w:ascii="Symbol" w:hAnsi="Symbol"/>
          <w:i/>
        </w:rPr>
        <w:t></w:t>
      </w:r>
      <w:r w:rsidRPr="00E24096">
        <w:t xml:space="preserve"> model is used</w:t>
      </w:r>
      <w:r>
        <w:t xml:space="preserve"> (Shih et al, 1995)</w:t>
      </w:r>
      <w:r w:rsidRPr="00E24096">
        <w:t xml:space="preserve">. </w:t>
      </w:r>
      <w:r>
        <w:t xml:space="preserve">A representative two injector domain was modelled with an unstructured hybrid hexahedral mesh incorporating prism layers in the near wall region that was sufficiently refined to ensure accurate representation of the mixing process. The flow of vitiated oxidant into the burner is modelled with a velocity boundary while the fuel enters the domain by mass flow boundaries. </w:t>
      </w:r>
      <w:r w:rsidRPr="00E24096">
        <w:t>The temperature of the oxidant stream (MET) is adjusted for the different fuel streams in the simulations in order to maintain the flame location.</w:t>
      </w:r>
    </w:p>
    <w:p w:rsidR="00D61F76" w:rsidRDefault="00D61F76" w:rsidP="00D61F76">
      <w:pPr>
        <w:ind w:firstLine="425"/>
      </w:pPr>
      <w:r w:rsidRPr="00E24096">
        <w:t>Figure 7, shows the evolution of the mixing along the length of the burner. It is shown that for the majority of the fuels studied, covering a range of heating values of almost</w:t>
      </w:r>
      <w:r>
        <w:t xml:space="preserve"> a factor of</w:t>
      </w:r>
      <w:r w:rsidRPr="00E24096">
        <w:t xml:space="preserve"> 3.5, the impact on the mixing quality is negligible. Only for the lowest heating value fuel is </w:t>
      </w:r>
      <w:r>
        <w:t xml:space="preserve">the mixing </w:t>
      </w:r>
      <w:r w:rsidRPr="00E24096">
        <w:t>significantly impacted by the fuel type.</w:t>
      </w:r>
    </w:p>
    <w:p w:rsidR="00D61F76" w:rsidRDefault="00D61F76" w:rsidP="00B2336A">
      <w:pPr>
        <w:ind w:firstLine="425"/>
      </w:pPr>
      <w:r>
        <w:t xml:space="preserve">Figure </w:t>
      </w:r>
      <w:r>
        <w:rPr>
          <w:noProof/>
        </w:rPr>
        <w:t>8</w:t>
      </w:r>
      <w:r>
        <w:t xml:space="preserve"> shows</w:t>
      </w:r>
      <w:r w:rsidRPr="00E24096">
        <w:t xml:space="preserve"> contour plots of the fuel mixture fraction at three axial locations within the mixing section of the burner</w:t>
      </w:r>
      <w:r>
        <w:t xml:space="preserve"> (as indicated in </w:t>
      </w:r>
      <w:r w:rsidRPr="00E24096">
        <w:t xml:space="preserve">Figure </w:t>
      </w:r>
      <w:r>
        <w:rPr>
          <w:noProof/>
        </w:rPr>
        <w:t>7</w:t>
      </w:r>
      <w:r>
        <w:t>)</w:t>
      </w:r>
      <w:r w:rsidRPr="00E24096">
        <w:t xml:space="preserve">. The first </w:t>
      </w:r>
      <w:r>
        <w:t>column</w:t>
      </w:r>
      <w:r w:rsidRPr="00E24096">
        <w:t xml:space="preserve"> of contours are taken at a location close to the injectors and show the initial interaction of the fuel jet with the vortices introduced for mixing. The fuel is stretched laterally across the mixing channel, and this distribution is similar for all four fuel types.</w:t>
      </w:r>
    </w:p>
    <w:p w:rsidR="00D61F76" w:rsidRPr="00E24096" w:rsidRDefault="00D61F76" w:rsidP="005567AB">
      <w:pPr>
        <w:pStyle w:val="BodyTextIndent"/>
        <w:ind w:firstLine="426"/>
      </w:pPr>
      <w:r w:rsidRPr="00E24096">
        <w:t xml:space="preserve">The second </w:t>
      </w:r>
      <w:r>
        <w:t>column</w:t>
      </w:r>
      <w:r w:rsidRPr="00E24096">
        <w:t xml:space="preserve"> of contours</w:t>
      </w:r>
      <w:r>
        <w:t xml:space="preserve"> illustrated in Figure </w:t>
      </w:r>
      <w:r>
        <w:rPr>
          <w:noProof/>
        </w:rPr>
        <w:t>8</w:t>
      </w:r>
      <w:r>
        <w:t xml:space="preserve"> is</w:t>
      </w:r>
      <w:r w:rsidRPr="00E24096">
        <w:t xml:space="preserve"> positioned towards the middle of the mixing section. These contours show that the fuel is already well distributed over a wide part of the channel. When going from methane to a 50% volumetric mix</w:t>
      </w:r>
      <w:r>
        <w:t>ture</w:t>
      </w:r>
      <w:r w:rsidRPr="00E24096">
        <w:t xml:space="preserve"> of methane and hydrogen it is demonstrated that the mixing is not significantly impacted. However, for the other two fuels the mixing is more influenced, most notably for the hydrogen nitrogen mix.</w:t>
      </w:r>
    </w:p>
    <w:p w:rsidR="00D61F76" w:rsidRPr="00E24096" w:rsidRDefault="00D61F76" w:rsidP="00D61F76">
      <w:pPr>
        <w:pStyle w:val="BodyTextIndent"/>
        <w:ind w:firstLine="426"/>
      </w:pPr>
      <w:r w:rsidRPr="00E24096">
        <w:t xml:space="preserve">The final </w:t>
      </w:r>
      <w:r>
        <w:t>column</w:t>
      </w:r>
      <w:r w:rsidRPr="00E24096">
        <w:t xml:space="preserve"> of contours shows the mixing near the exit of the mixing section. At this location, it can be seen, as expected from the previous discussion, that there is very limited difference for the methane and hydrogen/methane mix. Although differences can be seen for the pure hydrogen, it is, nonetheless, still well mixed and shows a distribution very similar to the other fuels. Again it is only the </w:t>
      </w:r>
      <w:r>
        <w:t>diluted hydrogen</w:t>
      </w:r>
      <w:r w:rsidRPr="00E24096">
        <w:t xml:space="preserve"> where the mixing can be seen to be significantly impacted.</w:t>
      </w:r>
    </w:p>
    <w:p w:rsidR="00D61F76" w:rsidRPr="00E24096" w:rsidRDefault="00D61F76" w:rsidP="00D61F76">
      <w:pPr>
        <w:pStyle w:val="Heading1"/>
      </w:pPr>
      <w:r w:rsidRPr="00E24096">
        <w:t>COMBUSTOR VALIDATION AT HIGH PRESSURE</w:t>
      </w:r>
    </w:p>
    <w:p w:rsidR="00D61F76" w:rsidRPr="00E24096" w:rsidRDefault="00D61F76" w:rsidP="00D61F76">
      <w:pPr>
        <w:pStyle w:val="BodyTextIndent"/>
      </w:pPr>
      <w:r>
        <w:t>High</w:t>
      </w:r>
      <w:r w:rsidRPr="00E24096">
        <w:t>-pressure full-scale combustor tests</w:t>
      </w:r>
      <w:r>
        <w:t xml:space="preserve">, performed at the German Aerospace </w:t>
      </w:r>
      <w:proofErr w:type="spellStart"/>
      <w:r>
        <w:t>Center</w:t>
      </w:r>
      <w:proofErr w:type="spellEnd"/>
      <w:r>
        <w:t xml:space="preserve"> (DLR), </w:t>
      </w:r>
      <w:r w:rsidRPr="00E24096">
        <w:t>Cologne</w:t>
      </w:r>
      <w:r>
        <w:t>,</w:t>
      </w:r>
      <w:r w:rsidRPr="00E24096">
        <w:t xml:space="preserve"> </w:t>
      </w:r>
      <w:r>
        <w:t xml:space="preserve">constitute one of the key validation steps in </w:t>
      </w:r>
      <w:proofErr w:type="spellStart"/>
      <w:r>
        <w:t>Ansaldo</w:t>
      </w:r>
      <w:proofErr w:type="spellEnd"/>
      <w:r>
        <w:t xml:space="preserve"> </w:t>
      </w:r>
      <w:proofErr w:type="spellStart"/>
      <w:r>
        <w:t>Energia’s</w:t>
      </w:r>
      <w:proofErr w:type="spellEnd"/>
      <w:r>
        <w:t xml:space="preserve"> technology and product development. The tests reported here</w:t>
      </w:r>
      <w:r w:rsidRPr="00E24096">
        <w:t xml:space="preserve"> aimed at an extension of </w:t>
      </w:r>
      <w:r w:rsidRPr="00E24096">
        <w:lastRenderedPageBreak/>
        <w:t>the flame position control by MET adjustment to a larger range of fuel reactivity. In particular</w:t>
      </w:r>
      <w:r>
        <w:t>,</w:t>
      </w:r>
      <w:r w:rsidRPr="00E24096">
        <w:t xml:space="preserve"> the practicality of operating a standard GT36 CPSC combustor with higher hydrogen content fuels and methane was validated.</w:t>
      </w:r>
      <w:r>
        <w:t xml:space="preserve"> More information about measurements in the high pressure test rig can be found in (Pennell et al, 2017).</w:t>
      </w:r>
    </w:p>
    <w:p w:rsidR="00D61F76" w:rsidRPr="00E24096" w:rsidRDefault="00D61F76" w:rsidP="00D61F76">
      <w:pPr>
        <w:pStyle w:val="Heading3"/>
      </w:pPr>
      <w:r w:rsidRPr="00E24096">
        <w:t>Operation with fuels containing hydrogen</w:t>
      </w:r>
    </w:p>
    <w:p w:rsidR="00D61F76" w:rsidRPr="00E24096" w:rsidRDefault="00D61F76" w:rsidP="005567AB">
      <w:pPr>
        <w:pStyle w:val="BodyTextIndent"/>
        <w:spacing w:after="120"/>
        <w:ind w:firstLine="357"/>
      </w:pPr>
      <w:r>
        <w:t>W</w:t>
      </w:r>
      <w:r w:rsidRPr="00E24096">
        <w:t>hen considering flame position control for application to fuels containing high hydrogen contents</w:t>
      </w:r>
      <w:r>
        <w:t>, it is fundamental</w:t>
      </w:r>
      <w:r w:rsidRPr="00E24096">
        <w:t xml:space="preserve"> to demonstrate the complementarity of the first and second stages on a quantitative basis, i.e. ensuring that the optimum inlet temperature of the second stage could match the operation concept of the first stage. For this purpose, the test campaign was structured into two parts as depicted in Figure </w:t>
      </w:r>
      <w:r>
        <w:t>9</w:t>
      </w:r>
      <w:r w:rsidRPr="00E24096">
        <w:t>:</w:t>
      </w:r>
    </w:p>
    <w:p w:rsidR="00D61F76" w:rsidRPr="00E24096" w:rsidRDefault="00D61F76" w:rsidP="00D61F76">
      <w:pPr>
        <w:pStyle w:val="BodyTextIndent"/>
        <w:ind w:left="450" w:hanging="270"/>
      </w:pPr>
      <w:r w:rsidRPr="00E24096">
        <w:t>•</w:t>
      </w:r>
      <w:r w:rsidRPr="00E24096">
        <w:tab/>
        <w:t xml:space="preserve">In the first part, only the first stage combustor was mapped keeping the second stage </w:t>
      </w:r>
      <w:r>
        <w:t>unignited</w:t>
      </w:r>
      <w:r w:rsidRPr="00E24096">
        <w:t>. As expected, the first stage was proven to have a wide operation window, with increased hydrogen content extending the</w:t>
      </w:r>
      <w:r>
        <w:t xml:space="preserve"> Lean Blow Out limit</w:t>
      </w:r>
      <w:r w:rsidRPr="00E24096">
        <w:t xml:space="preserve"> due to the increased fuel reactivity. This enables the targeted operation with a lower first stage temperature (black triangles).</w:t>
      </w:r>
    </w:p>
    <w:p w:rsidR="00D61F76" w:rsidRPr="00E24096" w:rsidRDefault="00D61F76" w:rsidP="005567AB">
      <w:pPr>
        <w:pStyle w:val="BodyTextIndent"/>
        <w:spacing w:after="120"/>
        <w:ind w:left="453" w:hanging="272"/>
      </w:pPr>
      <w:r w:rsidRPr="00E24096">
        <w:t>•</w:t>
      </w:r>
      <w:r w:rsidRPr="00E24096">
        <w:tab/>
        <w:t>In the second part of the testing, the combustor operation range was mapped including the sequential combustor (shaded area). During this testing it was demonstrated that the impact of the higher fuel reactivity on the sequential combustor can be fully compensated by derating the first stage. For all the illustrated mappings the exit temperature of the combustor was maintained constant.</w:t>
      </w:r>
    </w:p>
    <w:p w:rsidR="00D61F76" w:rsidRPr="00E24096" w:rsidRDefault="00D61F76" w:rsidP="00B2336A">
      <w:pPr>
        <w:pStyle w:val="BodyTextIndent"/>
        <w:ind w:firstLine="357"/>
      </w:pPr>
      <w:r w:rsidRPr="00E24096">
        <w:t>The broad overlap between the first and second stage operation windows, confirmed the reaction kinetics predictions presented above, ensuring robust operation at engine level.</w:t>
      </w:r>
    </w:p>
    <w:p w:rsidR="00D61F76" w:rsidRPr="00E24096" w:rsidRDefault="00D61F76" w:rsidP="00D61F76">
      <w:pPr>
        <w:spacing w:after="120"/>
        <w:ind w:firstLine="357"/>
      </w:pPr>
      <w:r w:rsidRPr="00E24096">
        <w:t xml:space="preserve">Figure </w:t>
      </w:r>
      <w:r>
        <w:rPr>
          <w:noProof/>
        </w:rPr>
        <w:t>10</w:t>
      </w:r>
      <w:r w:rsidRPr="00E24096">
        <w:t xml:space="preserve"> shows how key parameters, including hydrogen content, were changed during testing. The maximum burner metal temperature (red line) is used as monitoring parameter for flashback. While increasing the hydrogen content (green line), the </w:t>
      </w:r>
      <w:r>
        <w:t>MET</w:t>
      </w:r>
      <w:r w:rsidRPr="00E24096">
        <w:t xml:space="preserve"> was lowered (blue line) allowing the flashback margin to be maintained as indicated by the maximum metal temperature.</w:t>
      </w:r>
    </w:p>
    <w:p w:rsidR="00D61F76" w:rsidRPr="00E24096" w:rsidRDefault="00D61F76" w:rsidP="00D61F76">
      <w:pPr>
        <w:pStyle w:val="Heading3"/>
      </w:pPr>
      <w:r w:rsidRPr="00E24096">
        <w:t>Operation with low fuel reactivity</w:t>
      </w:r>
    </w:p>
    <w:p w:rsidR="00D61F76" w:rsidRPr="00E24096" w:rsidRDefault="00D61F76" w:rsidP="00D61F76">
      <w:pPr>
        <w:pStyle w:val="BodyTextIndent"/>
      </w:pPr>
      <w:r w:rsidRPr="00E24096">
        <w:t>The benefits of the CPSC combustion concept, in terms of fuel flexibility, have been presented in terms of chemical kinetics. This flexibility has primarily been considered in the context of more reactive fuels (i.e. high hydrogen content fuels) and validation of this flexibility has been presented in the previous section.</w:t>
      </w:r>
    </w:p>
    <w:p w:rsidR="00D61F76" w:rsidRPr="00E24096" w:rsidRDefault="00D61F76" w:rsidP="00D61F76">
      <w:pPr>
        <w:pStyle w:val="BodyTextIndent"/>
      </w:pPr>
      <w:r w:rsidRPr="00E24096">
        <w:t xml:space="preserve">It is also clear from Figure </w:t>
      </w:r>
      <w:r>
        <w:rPr>
          <w:noProof/>
        </w:rPr>
        <w:t>5</w:t>
      </w:r>
      <w:r w:rsidRPr="00E24096">
        <w:t xml:space="preserve">, however, that the same CPSC flexibility can be applied when operating with lower reactivity fuel (i.e. methane). In this case fuel can be moved to first stage, increasing MET, to maintain the same flame position, ensuring unchanged combustion performance. This is particularly relevant to ensure sufficient residence time to fully burn out carbon monoxide at part load and to ensure similar </w:t>
      </w:r>
      <w:proofErr w:type="spellStart"/>
      <w:r w:rsidRPr="00E24096">
        <w:t>thermoacoustic</w:t>
      </w:r>
      <w:proofErr w:type="spellEnd"/>
      <w:r w:rsidRPr="00E24096">
        <w:t xml:space="preserve"> behaviour at </w:t>
      </w:r>
      <w:r>
        <w:t>base</w:t>
      </w:r>
      <w:r w:rsidRPr="00E24096">
        <w:t xml:space="preserve"> load.</w:t>
      </w:r>
    </w:p>
    <w:p w:rsidR="00D61F76" w:rsidRPr="00E24096" w:rsidRDefault="00D61F76" w:rsidP="00D61F76">
      <w:pPr>
        <w:pStyle w:val="BodyTextIndent"/>
      </w:pPr>
      <w:r w:rsidRPr="00E24096">
        <w:t xml:space="preserve">This capability has also been validated during full-scale single burner tests at representative engine conditions both at </w:t>
      </w:r>
      <w:r>
        <w:t>base</w:t>
      </w:r>
      <w:r w:rsidRPr="00E24096">
        <w:t xml:space="preserve"> and part load. In Figure </w:t>
      </w:r>
      <w:r>
        <w:rPr>
          <w:noProof/>
        </w:rPr>
        <w:t>11</w:t>
      </w:r>
      <w:r>
        <w:t xml:space="preserve"> and </w:t>
      </w:r>
      <w:r w:rsidRPr="00E24096">
        <w:t xml:space="preserve">Figure </w:t>
      </w:r>
      <w:r>
        <w:rPr>
          <w:noProof/>
        </w:rPr>
        <w:t>12</w:t>
      </w:r>
      <w:r>
        <w:t xml:space="preserve"> the measured emission of NOx and carbon monoxide are shown normalised by their respective test limits</w:t>
      </w:r>
      <w:r w:rsidRPr="00E24096">
        <w:t>. The</w:t>
      </w:r>
      <w:r>
        <w:t>se</w:t>
      </w:r>
      <w:r w:rsidRPr="00E24096">
        <w:t xml:space="preserve"> test limits are set </w:t>
      </w:r>
      <w:r>
        <w:t>during</w:t>
      </w:r>
      <w:r w:rsidRPr="00E24096">
        <w:t xml:space="preserve"> single burner high pressure tests to ensure the engine guarantees will be achieved across the machine’s entire lifetime. The data shown in Figure </w:t>
      </w:r>
      <w:r>
        <w:rPr>
          <w:noProof/>
        </w:rPr>
        <w:t>11</w:t>
      </w:r>
      <w:r w:rsidRPr="00E24096">
        <w:t xml:space="preserve"> and Figure </w:t>
      </w:r>
      <w:r>
        <w:rPr>
          <w:noProof/>
        </w:rPr>
        <w:t>12</w:t>
      </w:r>
      <w:r w:rsidRPr="00E24096">
        <w:t xml:space="preserve"> compare the emissions measured during operation with methane (labelled 0% C2+ as it contains negligible higher hydrocarbon components) with emissions measured with the standard test fuel (labelled 7% C2+).</w:t>
      </w:r>
    </w:p>
    <w:p w:rsidR="00D61F76" w:rsidRDefault="00D61F76" w:rsidP="00D61F76">
      <w:pPr>
        <w:pStyle w:val="BodyTextIndent"/>
      </w:pPr>
      <w:r w:rsidRPr="00E24096">
        <w:t xml:space="preserve">Figure </w:t>
      </w:r>
      <w:r>
        <w:rPr>
          <w:noProof/>
        </w:rPr>
        <w:t>11</w:t>
      </w:r>
      <w:r w:rsidRPr="00E24096">
        <w:t xml:space="preserve"> shows that the </w:t>
      </w:r>
      <w:r>
        <w:t>base</w:t>
      </w:r>
      <w:r w:rsidRPr="00E24096">
        <w:t xml:space="preserve"> load performance can be achieved with a moderate increase in MET. The specific challenge with a low reactivity fuel though is the ability to maintain the part load emissions of carbon monoxide.</w:t>
      </w:r>
    </w:p>
    <w:p w:rsidR="00D61F76" w:rsidRDefault="00D61F76" w:rsidP="00D61F76">
      <w:pPr>
        <w:pStyle w:val="BodyTextIndent"/>
        <w:spacing w:after="120"/>
        <w:ind w:firstLine="357"/>
      </w:pPr>
      <w:r w:rsidRPr="00E24096">
        <w:t xml:space="preserve">Considering Figure </w:t>
      </w:r>
      <w:r>
        <w:t>12</w:t>
      </w:r>
      <w:r w:rsidRPr="00E24096">
        <w:t>, it can again be seen that a minor adjustment of the MET allows the same performance in terms of carbon monoxide to be achieved during part load operation. It is also shown that without this adjustment the turndown of the engine operating with methane would be compromised. Furthermore, it is shown that the required change in MET is not at the detriment of the NOx emissions.</w:t>
      </w:r>
    </w:p>
    <w:p w:rsidR="00D61F76" w:rsidRPr="00E24096" w:rsidRDefault="00D61F76" w:rsidP="00D61F76">
      <w:pPr>
        <w:pStyle w:val="Heading1"/>
      </w:pPr>
      <w:r w:rsidRPr="00E24096">
        <w:t>CONCLUSIONS</w:t>
      </w:r>
    </w:p>
    <w:p w:rsidR="00D61F76" w:rsidRPr="00E24096" w:rsidRDefault="00D61F76" w:rsidP="00D61F76">
      <w:pPr>
        <w:pStyle w:val="BodyTextIndent"/>
      </w:pPr>
      <w:r w:rsidRPr="00E24096">
        <w:t xml:space="preserve">Sequential combustion </w:t>
      </w:r>
      <w:r>
        <w:t xml:space="preserve">in gas turbines </w:t>
      </w:r>
      <w:r w:rsidRPr="00E24096">
        <w:t xml:space="preserve">has an intrinsic advantage for fuel and operational flexibility: </w:t>
      </w:r>
      <w:proofErr w:type="spellStart"/>
      <w:r>
        <w:t>Ansaldo</w:t>
      </w:r>
      <w:proofErr w:type="spellEnd"/>
      <w:r>
        <w:t xml:space="preserve"> </w:t>
      </w:r>
      <w:proofErr w:type="spellStart"/>
      <w:r>
        <w:t>Energia’s</w:t>
      </w:r>
      <w:proofErr w:type="spellEnd"/>
      <w:r>
        <w:t xml:space="preserve"> </w:t>
      </w:r>
      <w:r w:rsidRPr="00E24096">
        <w:t>GT26 and GT36 engines benefit therefore from an additional tuning parameter</w:t>
      </w:r>
      <w:r>
        <w:t>: MET</w:t>
      </w:r>
      <w:r w:rsidRPr="00E24096">
        <w:t xml:space="preserve">. This enables the adaption of engine operation to the widest fuel range and at the same time </w:t>
      </w:r>
      <w:r>
        <w:t>it minimis</w:t>
      </w:r>
      <w:r w:rsidRPr="00E24096">
        <w:t>es the penalty on engine performance due to combustion exit temperature derating, which is normally associated with less conventional fuels in low-emission premix combustion.</w:t>
      </w:r>
    </w:p>
    <w:p w:rsidR="00D61F76" w:rsidRPr="00E24096" w:rsidRDefault="00D61F76" w:rsidP="00D61F76">
      <w:pPr>
        <w:pStyle w:val="BodyTextIndent"/>
      </w:pPr>
      <w:r w:rsidRPr="00E24096">
        <w:t>The fuel ratio between first and second stages is used to adjust the MET and therefore to optimi</w:t>
      </w:r>
      <w:r>
        <w:t>s</w:t>
      </w:r>
      <w:r w:rsidRPr="00E24096">
        <w:t>e the flame location of both combustion stages. It has been demonstrated that this is an effective route to burn high volumetric blends of hydrogen with natural gas, at full combustor exit temperature. The high-pressure validation of the combustor fuel flexibility confirms the prediction from reaction kinetics and CFD calculations.</w:t>
      </w:r>
    </w:p>
    <w:p w:rsidR="00D61F76" w:rsidRPr="00E24096" w:rsidRDefault="00D61F76" w:rsidP="00D61F76">
      <w:pPr>
        <w:pStyle w:val="BodyTextIndent"/>
      </w:pPr>
      <w:r w:rsidRPr="00E24096">
        <w:t>With the latest high pressure tests, the C2+ operation concept could therefore be extended to high hydrogen fuels. This allows the GT36 to be operated all the way from pure methane up to 50% volumetric hydrogen content with stable combustion on all stages without any modification of the standard hardware.</w:t>
      </w:r>
    </w:p>
    <w:p w:rsidR="00D61F76" w:rsidRPr="00E24096" w:rsidRDefault="00D61F76" w:rsidP="00D61F76">
      <w:pPr>
        <w:pStyle w:val="BodyTextIndent"/>
      </w:pPr>
      <w:r w:rsidRPr="00E24096">
        <w:t>Based on this result, a further increase in hydrogen content is envisaged in the short term future</w:t>
      </w:r>
      <w:r w:rsidR="00983E49">
        <w:t xml:space="preserve"> (Bothien et al, 2019)</w:t>
      </w:r>
      <w:r>
        <w:t xml:space="preserve"> and 100% hydrogen operation is considered feasible.</w:t>
      </w:r>
    </w:p>
    <w:p w:rsidR="00D61F76" w:rsidRPr="00E24096" w:rsidRDefault="00D61F76" w:rsidP="00D61F76">
      <w:pPr>
        <w:pStyle w:val="Heading1"/>
      </w:pPr>
      <w:r w:rsidRPr="00E24096">
        <w:lastRenderedPageBreak/>
        <w:t>Nomenclature</w:t>
      </w:r>
    </w:p>
    <w:p w:rsidR="00D61F76" w:rsidRDefault="00D61F76" w:rsidP="00D61F76">
      <w:pPr>
        <w:pStyle w:val="BodyTextIndent"/>
        <w:ind w:left="709" w:hanging="709"/>
      </w:pPr>
      <w:r w:rsidRPr="00E24096">
        <w:t xml:space="preserve">CPSC </w:t>
      </w:r>
      <w:r w:rsidRPr="00E24096">
        <w:tab/>
        <w:t>Constant Pressure Sequential Combustion</w:t>
      </w:r>
    </w:p>
    <w:p w:rsidR="00D61F76" w:rsidRPr="00E24096" w:rsidRDefault="00D61F76" w:rsidP="00D61F76">
      <w:pPr>
        <w:pStyle w:val="BodyTextIndent"/>
        <w:ind w:left="709" w:hanging="709"/>
      </w:pPr>
      <w:r>
        <w:t>CO</w:t>
      </w:r>
      <w:r>
        <w:tab/>
        <w:t>Carbon Monoxide</w:t>
      </w:r>
    </w:p>
    <w:p w:rsidR="00D61F76" w:rsidRPr="00E24096" w:rsidRDefault="00D61F76" w:rsidP="00D61F76">
      <w:pPr>
        <w:pStyle w:val="BodyTextIndent"/>
        <w:ind w:left="709" w:hanging="709"/>
      </w:pPr>
      <w:r w:rsidRPr="00E24096">
        <w:t>C2+</w:t>
      </w:r>
      <w:r w:rsidRPr="00E24096">
        <w:tab/>
        <w:t>Hydrocarbons with at least two carbon atoms</w:t>
      </w:r>
    </w:p>
    <w:p w:rsidR="00D61F76" w:rsidRPr="00E24096" w:rsidRDefault="00D61F76" w:rsidP="00D61F76">
      <w:pPr>
        <w:pStyle w:val="BodyTextIndent"/>
        <w:ind w:left="709" w:hanging="709"/>
      </w:pPr>
      <w:r w:rsidRPr="00E24096">
        <w:t>EV</w:t>
      </w:r>
      <w:r w:rsidRPr="00E24096">
        <w:tab/>
      </w:r>
      <w:proofErr w:type="spellStart"/>
      <w:r w:rsidRPr="00E24096">
        <w:t>EnVironmental</w:t>
      </w:r>
      <w:proofErr w:type="spellEnd"/>
      <w:r w:rsidRPr="00E24096">
        <w:t xml:space="preserve"> (GT26 First Stage)</w:t>
      </w:r>
    </w:p>
    <w:p w:rsidR="00D61F76" w:rsidRPr="00E24096" w:rsidRDefault="00D61F76" w:rsidP="00D61F76">
      <w:pPr>
        <w:pStyle w:val="BodyTextIndent"/>
        <w:ind w:left="709" w:hanging="709"/>
      </w:pPr>
      <w:r w:rsidRPr="00E24096">
        <w:t>FS</w:t>
      </w:r>
      <w:r w:rsidRPr="00E24096">
        <w:tab/>
        <w:t>First Stage</w:t>
      </w:r>
    </w:p>
    <w:p w:rsidR="00D61F76" w:rsidRPr="00E24096" w:rsidRDefault="00D61F76" w:rsidP="00D61F76">
      <w:pPr>
        <w:pStyle w:val="BodyTextIndent"/>
        <w:ind w:left="709" w:hanging="709"/>
      </w:pPr>
      <w:r w:rsidRPr="00E24096">
        <w:t>HP</w:t>
      </w:r>
      <w:r w:rsidRPr="00E24096">
        <w:tab/>
        <w:t>High Pressure</w:t>
      </w:r>
    </w:p>
    <w:p w:rsidR="00D61F76" w:rsidRPr="00E24096" w:rsidRDefault="00D61F76" w:rsidP="00D61F76">
      <w:pPr>
        <w:pStyle w:val="BodyTextIndent"/>
        <w:ind w:left="709" w:hanging="709"/>
      </w:pPr>
      <w:r w:rsidRPr="00E24096">
        <w:t>LBO</w:t>
      </w:r>
      <w:r w:rsidRPr="00E24096">
        <w:tab/>
        <w:t>Lean Blow Out</w:t>
      </w:r>
    </w:p>
    <w:p w:rsidR="00D61F76" w:rsidRPr="00E24096" w:rsidRDefault="00D61F76" w:rsidP="00D61F76">
      <w:pPr>
        <w:pStyle w:val="BodyTextIndent"/>
        <w:ind w:left="709" w:hanging="709"/>
      </w:pPr>
      <w:r w:rsidRPr="00E24096">
        <w:t>MET</w:t>
      </w:r>
      <w:r w:rsidRPr="00E24096">
        <w:tab/>
        <w:t>Mixer Exit Temperature = Second Stage inlet temperature</w:t>
      </w:r>
    </w:p>
    <w:p w:rsidR="00D61F76" w:rsidRDefault="00D61F76" w:rsidP="00D61F76">
      <w:pPr>
        <w:pStyle w:val="BodyTextIndent"/>
        <w:ind w:left="709" w:hanging="709"/>
      </w:pPr>
      <w:r>
        <w:t>NOx</w:t>
      </w:r>
      <w:r>
        <w:tab/>
        <w:t>Oxides of Nitrogen</w:t>
      </w:r>
    </w:p>
    <w:p w:rsidR="00D61F76" w:rsidRPr="00E24096" w:rsidRDefault="00D61F76" w:rsidP="00D61F76">
      <w:pPr>
        <w:pStyle w:val="BodyTextIndent"/>
        <w:ind w:left="709" w:hanging="709"/>
      </w:pPr>
      <w:r w:rsidRPr="00E24096">
        <w:t>SB</w:t>
      </w:r>
      <w:r w:rsidRPr="00E24096">
        <w:tab/>
        <w:t>Sequential Burner / Second Stage</w:t>
      </w:r>
    </w:p>
    <w:p w:rsidR="00D61F76" w:rsidRPr="00E24096" w:rsidRDefault="00D61F76" w:rsidP="00D61F76">
      <w:pPr>
        <w:pStyle w:val="BodyTextIndent"/>
        <w:ind w:left="709" w:hanging="709"/>
      </w:pPr>
      <w:r w:rsidRPr="00E24096">
        <w:t>SEV</w:t>
      </w:r>
      <w:r w:rsidRPr="00E24096">
        <w:tab/>
        <w:t xml:space="preserve">Sequential </w:t>
      </w:r>
      <w:proofErr w:type="spellStart"/>
      <w:r w:rsidRPr="00E24096">
        <w:t>EnVirnomental</w:t>
      </w:r>
      <w:proofErr w:type="spellEnd"/>
      <w:r w:rsidRPr="00E24096">
        <w:t xml:space="preserve"> (GT26 Second Stage)</w:t>
      </w:r>
    </w:p>
    <w:p w:rsidR="00D61F76" w:rsidRPr="00E24096" w:rsidRDefault="00D61F76" w:rsidP="00D61F76">
      <w:pPr>
        <w:pStyle w:val="Heading1"/>
      </w:pPr>
      <w:r w:rsidRPr="00E24096">
        <w:t>Ac</w:t>
      </w:r>
      <w:r w:rsidR="00052983">
        <w:t>k</w:t>
      </w:r>
      <w:r w:rsidRPr="00E24096">
        <w:t>nowledgments</w:t>
      </w:r>
    </w:p>
    <w:p w:rsidR="00D61F76" w:rsidRPr="00E24096" w:rsidRDefault="00D61F76" w:rsidP="00D61F76">
      <w:pPr>
        <w:pStyle w:val="BodyTextIndent"/>
      </w:pPr>
      <w:r>
        <w:t>T</w:t>
      </w:r>
      <w:r w:rsidRPr="002A7049">
        <w:t>he support of A. Cuquel</w:t>
      </w:r>
      <w:r>
        <w:t>,</w:t>
      </w:r>
      <w:r w:rsidRPr="002A7049">
        <w:t xml:space="preserve"> A. Glauser</w:t>
      </w:r>
      <w:r>
        <w:t>,</w:t>
      </w:r>
      <w:r w:rsidRPr="002A7049">
        <w:t xml:space="preserve"> V. Granet</w:t>
      </w:r>
      <w:r>
        <w:t>,</w:t>
      </w:r>
      <w:r w:rsidRPr="002A7049">
        <w:t xml:space="preserve"> D. Pennell</w:t>
      </w:r>
      <w:r>
        <w:t>,</w:t>
      </w:r>
      <w:r w:rsidRPr="002A7049">
        <w:t xml:space="preserve"> </w:t>
      </w:r>
      <w:r>
        <w:t xml:space="preserve">A. Scarpato and </w:t>
      </w:r>
      <w:r w:rsidRPr="002A7049">
        <w:t>A. Wickstroem in obtaining the results presented here</w:t>
      </w:r>
      <w:r>
        <w:t xml:space="preserve"> is gratefully acknowledged</w:t>
      </w:r>
      <w:r w:rsidRPr="002A7049">
        <w:t>.</w:t>
      </w:r>
      <w:r>
        <w:t xml:space="preserve"> Also, t</w:t>
      </w:r>
      <w:r w:rsidRPr="00E24096">
        <w:t xml:space="preserve">he authors would like to thank S. </w:t>
      </w:r>
      <w:proofErr w:type="spellStart"/>
      <w:r w:rsidRPr="00E24096">
        <w:t>Kashanchi</w:t>
      </w:r>
      <w:proofErr w:type="spellEnd"/>
      <w:r w:rsidRPr="00E24096">
        <w:t xml:space="preserve"> and J. Mahal for supporting in the reaction kinetics calculations and computational analysis of the flow field and combustion of the </w:t>
      </w:r>
      <w:r>
        <w:t>sequential</w:t>
      </w:r>
      <w:r w:rsidRPr="00E24096">
        <w:t xml:space="preserve"> burner reported here</w:t>
      </w:r>
      <w:r>
        <w:t>.</w:t>
      </w:r>
    </w:p>
    <w:p w:rsidR="00D61F76" w:rsidRPr="00E24096" w:rsidRDefault="00BA0D6D" w:rsidP="00D61F76">
      <w:pPr>
        <w:pStyle w:val="Heading1"/>
      </w:pPr>
      <w:r>
        <w:t>R</w:t>
      </w:r>
      <w:r w:rsidR="00D61F76" w:rsidRPr="00E24096">
        <w:t>eferences</w:t>
      </w:r>
    </w:p>
    <w:p w:rsidR="00052983" w:rsidRDefault="00052983" w:rsidP="00052983">
      <w:pPr>
        <w:ind w:firstLine="284"/>
      </w:pPr>
      <w:r>
        <w:t>Bothien, M. R., Ciani, A., Wood, J. P., Fruechtel, G., (2019) “Sequential combustion in gas turbines – the key technology for burning high hydrogen contents with low emissions”. In ASME Turbo Expo 2019, GT2019-90798.</w:t>
      </w:r>
    </w:p>
    <w:p w:rsidR="00D61F76" w:rsidRPr="00E24096" w:rsidRDefault="00D61F76" w:rsidP="00D61F76">
      <w:pPr>
        <w:ind w:firstLine="284"/>
        <w:rPr>
          <w:rFonts w:ascii="NimbusRomNo9L-Regu" w:hAnsi="NimbusRomNo9L-Regu" w:cs="NimbusRomNo9L-Regu"/>
        </w:rPr>
      </w:pPr>
      <w:proofErr w:type="spellStart"/>
      <w:r w:rsidRPr="00E24096">
        <w:t>Düsing</w:t>
      </w:r>
      <w:proofErr w:type="spellEnd"/>
      <w:r w:rsidRPr="00E24096">
        <w:t xml:space="preserve">, K. M., Ciani, A., Benz, U., </w:t>
      </w:r>
      <w:proofErr w:type="spellStart"/>
      <w:r w:rsidRPr="00E24096">
        <w:t>Eroglu</w:t>
      </w:r>
      <w:proofErr w:type="spellEnd"/>
      <w:r w:rsidRPr="00E24096">
        <w:t>, A., and Knapp, K. (2013) “Development of GT24 and GT26 (upgrades 2011) reheat combustors achieving reduced emissions and increased fuel flexibility”. In ASME Turbo Expo 2013, GT2013-95437</w:t>
      </w:r>
      <w:r w:rsidRPr="00E24096">
        <w:rPr>
          <w:rFonts w:ascii="NimbusRomNo9L-Regu" w:hAnsi="NimbusRomNo9L-Regu" w:cs="NimbusRomNo9L-Regu"/>
        </w:rPr>
        <w:t>.</w:t>
      </w:r>
    </w:p>
    <w:p w:rsidR="00D61F76" w:rsidRPr="00CC2C2D" w:rsidRDefault="00D61F76" w:rsidP="00052983">
      <w:pPr>
        <w:ind w:firstLine="284"/>
        <w:rPr>
          <w:lang w:val="fr-CH"/>
        </w:rPr>
      </w:pPr>
      <w:r w:rsidRPr="00E24096">
        <w:rPr>
          <w:shd w:val="clear" w:color="auto" w:fill="FFFFFF"/>
        </w:rPr>
        <w:t>Goodwin, D. (2009) "</w:t>
      </w:r>
      <w:proofErr w:type="spellStart"/>
      <w:r w:rsidRPr="00E24096">
        <w:rPr>
          <w:shd w:val="clear" w:color="auto" w:fill="FFFFFF"/>
        </w:rPr>
        <w:t>Cantera</w:t>
      </w:r>
      <w:proofErr w:type="spellEnd"/>
      <w:r w:rsidRPr="00E24096">
        <w:rPr>
          <w:shd w:val="clear" w:color="auto" w:fill="FFFFFF"/>
        </w:rPr>
        <w:t>: An object-oriented software toolkit for chemical kinetics, thermodynamics, and transport processes", Caltech, Pasadena.</w:t>
      </w:r>
      <w:r w:rsidR="00052983">
        <w:rPr>
          <w:shd w:val="clear" w:color="auto" w:fill="FFFFFF"/>
        </w:rPr>
        <w:t xml:space="preserve"> </w:t>
      </w:r>
      <w:r w:rsidRPr="00CC2C2D">
        <w:rPr>
          <w:shd w:val="clear" w:color="auto" w:fill="FFFFFF"/>
          <w:lang w:val="fr-CH"/>
        </w:rPr>
        <w:t xml:space="preserve">[Online]. </w:t>
      </w:r>
      <w:proofErr w:type="spellStart"/>
      <w:r w:rsidRPr="00CC2C2D">
        <w:rPr>
          <w:shd w:val="clear" w:color="auto" w:fill="FFFFFF"/>
          <w:lang w:val="fr-CH"/>
        </w:rPr>
        <w:t>Available</w:t>
      </w:r>
      <w:proofErr w:type="spellEnd"/>
      <w:r w:rsidRPr="00CC2C2D">
        <w:rPr>
          <w:shd w:val="clear" w:color="auto" w:fill="FFFFFF"/>
          <w:lang w:val="fr-CH"/>
        </w:rPr>
        <w:t xml:space="preserve">: </w:t>
      </w:r>
      <w:r w:rsidRPr="00CC2C2D">
        <w:rPr>
          <w:bdr w:val="none" w:sz="0" w:space="0" w:color="auto" w:frame="1"/>
          <w:shd w:val="clear" w:color="auto" w:fill="FFFFFF"/>
          <w:lang w:val="fr-CH"/>
        </w:rPr>
        <w:t>http://code.google.com/p/cantera</w:t>
      </w:r>
    </w:p>
    <w:p w:rsidR="00D61F76" w:rsidRPr="00E24096" w:rsidRDefault="00D61F76" w:rsidP="00D61F76">
      <w:pPr>
        <w:ind w:firstLine="284"/>
      </w:pPr>
      <w:proofErr w:type="spellStart"/>
      <w:r w:rsidRPr="00E24096">
        <w:t>Güthe</w:t>
      </w:r>
      <w:proofErr w:type="spellEnd"/>
      <w:r w:rsidRPr="00E24096">
        <w:t xml:space="preserve">, F., </w:t>
      </w:r>
      <w:proofErr w:type="spellStart"/>
      <w:r w:rsidRPr="00E24096">
        <w:t>Hellat</w:t>
      </w:r>
      <w:proofErr w:type="spellEnd"/>
      <w:r w:rsidRPr="00E24096">
        <w:t xml:space="preserve">, J., and </w:t>
      </w:r>
      <w:proofErr w:type="spellStart"/>
      <w:r w:rsidRPr="00E24096">
        <w:t>Flohr</w:t>
      </w:r>
      <w:proofErr w:type="spellEnd"/>
      <w:r w:rsidRPr="00E24096">
        <w:t>, P. (2009). “The reheat concept: The proven pathway to ultralow emissions and high efficiency and flexibility”. Journal of Engineering for Gas Turbines and Power, 131(2).</w:t>
      </w:r>
    </w:p>
    <w:p w:rsidR="00D61F76" w:rsidRPr="00E24096" w:rsidRDefault="00D61F76" w:rsidP="00052983">
      <w:pPr>
        <w:ind w:firstLine="284"/>
        <w:rPr>
          <w:rFonts w:eastAsia="MS PGothic"/>
        </w:rPr>
      </w:pPr>
      <w:r w:rsidRPr="00E24096">
        <w:t xml:space="preserve">U.S. Energy Information Administration, </w:t>
      </w:r>
      <w:r w:rsidRPr="00E24096">
        <w:rPr>
          <w:rFonts w:eastAsia="MS PGothic"/>
        </w:rPr>
        <w:t>In</w:t>
      </w:r>
      <w:r w:rsidRPr="00E24096">
        <w:t>ternational Energy Outlook 2017,</w:t>
      </w:r>
      <w:r w:rsidR="00052983">
        <w:t xml:space="preserve"> </w:t>
      </w:r>
      <w:r w:rsidRPr="00521BAF">
        <w:rPr>
          <w:rFonts w:eastAsia="MS PGothic"/>
        </w:rPr>
        <w:t>https://www.eia.gov/outlooks/ieo/pdf/0484(2017).pdf</w:t>
      </w:r>
    </w:p>
    <w:p w:rsidR="00D61F76" w:rsidRPr="00E24096" w:rsidRDefault="00D61F76" w:rsidP="00D61F76">
      <w:pPr>
        <w:ind w:firstLine="284"/>
        <w:rPr>
          <w:rFonts w:eastAsia="MS PGothic"/>
        </w:rPr>
      </w:pPr>
      <w:proofErr w:type="spellStart"/>
      <w:r w:rsidRPr="00E24096">
        <w:t>Konduri</w:t>
      </w:r>
      <w:proofErr w:type="spellEnd"/>
      <w:r w:rsidRPr="00E24096">
        <w:t xml:space="preserve"> A., Gruber, A., Xu, C., Lu, T., </w:t>
      </w:r>
      <w:proofErr w:type="spellStart"/>
      <w:r w:rsidRPr="00E24096">
        <w:t>Krisman</w:t>
      </w:r>
      <w:proofErr w:type="spellEnd"/>
      <w:r w:rsidRPr="00E24096">
        <w:t xml:space="preserve">, A., Bothien, M. R., </w:t>
      </w:r>
      <w:r>
        <w:t xml:space="preserve">and </w:t>
      </w:r>
      <w:r w:rsidRPr="00E24096">
        <w:t xml:space="preserve">Chen, J. H. (2018) “Direct numerical simulation of flame stabilization assisted by </w:t>
      </w:r>
      <w:proofErr w:type="spellStart"/>
      <w:r w:rsidRPr="00E24096">
        <w:t>autoignition</w:t>
      </w:r>
      <w:proofErr w:type="spellEnd"/>
      <w:r w:rsidRPr="00E24096">
        <w:t xml:space="preserve"> in a reheat gas turbine combustor”. Proceedings of The Combustion Institute, 2018, in press, https://doi.org/10.1016/j.proci.2018.06.084</w:t>
      </w:r>
    </w:p>
    <w:p w:rsidR="00D61F76" w:rsidRPr="00E24096" w:rsidRDefault="00D61F76" w:rsidP="00D61F76">
      <w:pPr>
        <w:ind w:firstLine="284"/>
      </w:pPr>
      <w:r w:rsidRPr="00E24096">
        <w:t xml:space="preserve">Kulkarni, R., Bunkute, B., </w:t>
      </w:r>
      <w:proofErr w:type="spellStart"/>
      <w:r w:rsidRPr="00E24096">
        <w:t>Biagioli</w:t>
      </w:r>
      <w:proofErr w:type="spellEnd"/>
      <w:r w:rsidRPr="00E24096">
        <w:t xml:space="preserve">, F., </w:t>
      </w:r>
      <w:proofErr w:type="spellStart"/>
      <w:r w:rsidRPr="00E24096">
        <w:t>Düsing</w:t>
      </w:r>
      <w:proofErr w:type="spellEnd"/>
      <w:r w:rsidRPr="00E24096">
        <w:t xml:space="preserve">, M., and </w:t>
      </w:r>
      <w:proofErr w:type="spellStart"/>
      <w:r w:rsidRPr="00E24096">
        <w:t>Polifke</w:t>
      </w:r>
      <w:proofErr w:type="spellEnd"/>
      <w:r w:rsidRPr="00E24096">
        <w:t>, W. (2014) “Large eddy simulation of Alstom’s reheat combustor using tabulated chem</w:t>
      </w:r>
      <w:bookmarkStart w:id="1" w:name="_GoBack"/>
      <w:bookmarkEnd w:id="1"/>
      <w:r w:rsidRPr="00E24096">
        <w:t>istry and stochastic fields combustion model”</w:t>
      </w:r>
      <w:r>
        <w:t>.</w:t>
      </w:r>
      <w:r w:rsidRPr="00E24096">
        <w:t xml:space="preserve"> In ASME Turbo Expo 2014, GT2014-26053.</w:t>
      </w:r>
    </w:p>
    <w:p w:rsidR="00D61F76" w:rsidRPr="00E24096" w:rsidRDefault="00D61F76" w:rsidP="00D61F76">
      <w:pPr>
        <w:ind w:firstLine="284"/>
      </w:pPr>
      <w:r w:rsidRPr="00E24096">
        <w:t xml:space="preserve">Kulkarni, R., </w:t>
      </w:r>
      <w:proofErr w:type="spellStart"/>
      <w:r w:rsidRPr="00E24096">
        <w:t>Düsing</w:t>
      </w:r>
      <w:proofErr w:type="spellEnd"/>
      <w:r w:rsidRPr="00E24096">
        <w:t>, M., Ferreira-</w:t>
      </w:r>
      <w:proofErr w:type="spellStart"/>
      <w:r w:rsidRPr="00E24096">
        <w:t>Providakis</w:t>
      </w:r>
      <w:proofErr w:type="spellEnd"/>
      <w:r w:rsidRPr="00E24096">
        <w:t xml:space="preserve">, T., and </w:t>
      </w:r>
      <w:proofErr w:type="spellStart"/>
      <w:r w:rsidRPr="00E24096">
        <w:t>Marchione</w:t>
      </w:r>
      <w:proofErr w:type="spellEnd"/>
      <w:r w:rsidRPr="00E24096">
        <w:t>, T. (2015) “Large eddy simulation and CO prediction of reheat burner switch-off concept”</w:t>
      </w:r>
      <w:r>
        <w:t>.</w:t>
      </w:r>
      <w:r w:rsidRPr="00E24096">
        <w:t xml:space="preserve"> In ASME Turbo Expo 2015, GT2015-43321.</w:t>
      </w:r>
    </w:p>
    <w:p w:rsidR="00D61F76" w:rsidRPr="00E24096" w:rsidRDefault="00D61F76" w:rsidP="00D61F76">
      <w:pPr>
        <w:ind w:firstLine="284"/>
      </w:pPr>
      <w:r w:rsidRPr="00E24096">
        <w:t>Kulkarni, R., Wood, J., Zuber, M., and Karim, H. (2017) “Numerical simulation of a reacting jet in a vitiated cross flow using a novel progress variable approach”</w:t>
      </w:r>
      <w:r>
        <w:t>.</w:t>
      </w:r>
      <w:r w:rsidRPr="00E24096">
        <w:t xml:space="preserve"> In ASME Turbo Expo</w:t>
      </w:r>
      <w:r>
        <w:t xml:space="preserve"> </w:t>
      </w:r>
      <w:r w:rsidRPr="00E24096">
        <w:t>2017, GT2017-64325.</w:t>
      </w:r>
    </w:p>
    <w:p w:rsidR="00D61F76" w:rsidRPr="00E24096" w:rsidRDefault="00D61F76" w:rsidP="00D61F76">
      <w:pPr>
        <w:ind w:firstLine="284"/>
      </w:pPr>
      <w:r w:rsidRPr="00E24096">
        <w:t xml:space="preserve">Metcalfe, W., Burke, S., Ahmed, S., </w:t>
      </w:r>
      <w:r>
        <w:t xml:space="preserve">and </w:t>
      </w:r>
      <w:r w:rsidRPr="00E24096">
        <w:t xml:space="preserve">Curran, H. (2013) “A Hierarchical and Comparative Kinetic </w:t>
      </w:r>
      <w:proofErr w:type="spellStart"/>
      <w:r w:rsidRPr="00E24096">
        <w:t>Modeling</w:t>
      </w:r>
      <w:proofErr w:type="spellEnd"/>
      <w:r w:rsidRPr="00E24096">
        <w:t xml:space="preserve"> Study of C1-C2 Hydrocarbon and Oxygenated Fuels”</w:t>
      </w:r>
      <w:r>
        <w:t>.</w:t>
      </w:r>
      <w:r w:rsidRPr="00E24096">
        <w:t xml:space="preserve"> Intl. J. Chemical Kinetics 45, pp 638-675. Release date: August 26th 2013.</w:t>
      </w:r>
    </w:p>
    <w:p w:rsidR="00D61F76" w:rsidRPr="00E24096" w:rsidRDefault="00D61F76" w:rsidP="00D61F76">
      <w:pPr>
        <w:ind w:firstLine="284"/>
      </w:pPr>
      <w:r w:rsidRPr="00E24096">
        <w:t xml:space="preserve">Pennell, D., Bothien, M. R., Ciani, A., Granet, G., Singla, G., Thorpe, S., Wickstroem, A., Oumejjoud, K., and Yaquinto, M. (2017) “An introduction to the </w:t>
      </w:r>
      <w:proofErr w:type="spellStart"/>
      <w:r w:rsidRPr="00E24096">
        <w:t>Ansaldo</w:t>
      </w:r>
      <w:proofErr w:type="spellEnd"/>
      <w:r w:rsidRPr="00E24096">
        <w:t xml:space="preserve"> GT36 constant pressure sequential combustor”. In ASME Turbo Expo 2017, GT2017-64790.</w:t>
      </w:r>
    </w:p>
    <w:p w:rsidR="00D61F76" w:rsidRPr="00E24096" w:rsidRDefault="00D61F76" w:rsidP="00D61F76">
      <w:pPr>
        <w:ind w:firstLine="284"/>
      </w:pPr>
      <w:proofErr w:type="spellStart"/>
      <w:r w:rsidRPr="00E24096">
        <w:t>Poyyapakkam</w:t>
      </w:r>
      <w:proofErr w:type="spellEnd"/>
      <w:r w:rsidRPr="00E24096">
        <w:t xml:space="preserve">, M., Wood, J., </w:t>
      </w:r>
      <w:proofErr w:type="spellStart"/>
      <w:r w:rsidRPr="00E24096">
        <w:t>Mayers</w:t>
      </w:r>
      <w:proofErr w:type="spellEnd"/>
      <w:r w:rsidRPr="00E24096">
        <w:t>, S., Ciani, A., Guethe, F., and Syed, K. (2012) “Hydrogen combustion within a gas turbine reheat combustor”</w:t>
      </w:r>
      <w:r>
        <w:t>.</w:t>
      </w:r>
      <w:r w:rsidRPr="00E24096">
        <w:t xml:space="preserve"> In ASME Turbo Expo 2012, GT2012-69165.</w:t>
      </w:r>
    </w:p>
    <w:p w:rsidR="00D61F76" w:rsidRDefault="00D61F76" w:rsidP="00D61F76">
      <w:pPr>
        <w:ind w:firstLine="284"/>
      </w:pPr>
      <w:proofErr w:type="spellStart"/>
      <w:r w:rsidRPr="00E24096">
        <w:t>Riccius</w:t>
      </w:r>
      <w:proofErr w:type="spellEnd"/>
      <w:r w:rsidRPr="00E24096">
        <w:t xml:space="preserve">, O., Smith, R., </w:t>
      </w:r>
      <w:proofErr w:type="spellStart"/>
      <w:r w:rsidRPr="00E24096">
        <w:t>Güthe</w:t>
      </w:r>
      <w:proofErr w:type="spellEnd"/>
      <w:r w:rsidRPr="00E24096">
        <w:t xml:space="preserve">, F., </w:t>
      </w:r>
      <w:r>
        <w:t xml:space="preserve">and </w:t>
      </w:r>
      <w:proofErr w:type="spellStart"/>
      <w:r w:rsidRPr="00E24096">
        <w:t>Flohr</w:t>
      </w:r>
      <w:proofErr w:type="spellEnd"/>
      <w:r w:rsidRPr="00E24096">
        <w:t>, P. (2005) “The GT24/26 combustion technology and high hydrocarbon (“C2+”) fuels”</w:t>
      </w:r>
      <w:r>
        <w:t>.</w:t>
      </w:r>
      <w:r w:rsidRPr="00E24096">
        <w:t xml:space="preserve"> In ASME Turbo Expo 2005, GT2005-68799</w:t>
      </w:r>
    </w:p>
    <w:p w:rsidR="00D61F76" w:rsidRPr="00E24096" w:rsidRDefault="00D61F76" w:rsidP="00D61F76">
      <w:pPr>
        <w:ind w:firstLine="284"/>
      </w:pPr>
      <w:r>
        <w:t xml:space="preserve">Shih, T.H., </w:t>
      </w:r>
      <w:proofErr w:type="spellStart"/>
      <w:r>
        <w:t>Liou</w:t>
      </w:r>
      <w:proofErr w:type="spellEnd"/>
      <w:r>
        <w:t>,</w:t>
      </w:r>
      <w:r w:rsidRPr="0087786A">
        <w:t xml:space="preserve"> </w:t>
      </w:r>
      <w:r>
        <w:t xml:space="preserve">W. W., </w:t>
      </w:r>
      <w:proofErr w:type="spellStart"/>
      <w:r>
        <w:t>Shabbir</w:t>
      </w:r>
      <w:proofErr w:type="spellEnd"/>
      <w:r>
        <w:t xml:space="preserve">, A., </w:t>
      </w:r>
      <w:proofErr w:type="spellStart"/>
      <w:r>
        <w:t>Yang,Y</w:t>
      </w:r>
      <w:proofErr w:type="spellEnd"/>
      <w:r>
        <w:t xml:space="preserve">., and J. Zhu J. (1995) “A new </w:t>
      </w:r>
      <w:r w:rsidRPr="0087786A">
        <w:rPr>
          <w:i/>
        </w:rPr>
        <w:t>k</w:t>
      </w:r>
      <w:r>
        <w:t>-</w:t>
      </w:r>
      <w:r w:rsidRPr="0087786A">
        <w:rPr>
          <w:rFonts w:ascii="Symbol" w:hAnsi="Symbol"/>
          <w:i/>
        </w:rPr>
        <w:t></w:t>
      </w:r>
      <w:r>
        <w:t xml:space="preserve"> eddy-viscosity model for high Reynolds number turbulent flows – Model development and validation”. </w:t>
      </w:r>
      <w:r w:rsidRPr="00A57874">
        <w:rPr>
          <w:rStyle w:val="Emphasis"/>
        </w:rPr>
        <w:t>Computers Fluids</w:t>
      </w:r>
      <w:r w:rsidRPr="00D007C5">
        <w:rPr>
          <w:i/>
        </w:rPr>
        <w:t>,</w:t>
      </w:r>
      <w:r>
        <w:t xml:space="preserve"> 24(3):227-238, 1995.</w:t>
      </w:r>
    </w:p>
    <w:p w:rsidR="00D61F76" w:rsidRPr="00E24096" w:rsidRDefault="00D61F76" w:rsidP="00D61F76">
      <w:pPr>
        <w:ind w:firstLine="284"/>
      </w:pPr>
      <w:r w:rsidRPr="00E24096">
        <w:t xml:space="preserve">Wang, P., Gao, Z., and </w:t>
      </w:r>
      <w:proofErr w:type="spellStart"/>
      <w:r w:rsidRPr="00E24096">
        <w:t>Bertling</w:t>
      </w:r>
      <w:proofErr w:type="spellEnd"/>
      <w:r w:rsidRPr="00E24096">
        <w:t>, L. (2012) "Operational Adequacy Studies of Power Systems With Wind Farms and Energy Storages"</w:t>
      </w:r>
      <w:r>
        <w:t>.</w:t>
      </w:r>
      <w:r w:rsidRPr="00E24096">
        <w:t xml:space="preserve"> </w:t>
      </w:r>
      <w:r>
        <w:t>I</w:t>
      </w:r>
      <w:r w:rsidRPr="00E24096">
        <w:t>n IEEE Transactions on Power Systems, vol. 27, no. 4, pp. 2377-2384.</w:t>
      </w:r>
    </w:p>
    <w:p w:rsidR="00D61F76" w:rsidRPr="00E24096" w:rsidRDefault="00D61F76" w:rsidP="00D61F76">
      <w:pPr>
        <w:ind w:firstLine="284"/>
      </w:pPr>
      <w:r w:rsidRPr="00E24096">
        <w:t xml:space="preserve">Wind, T., </w:t>
      </w:r>
      <w:proofErr w:type="spellStart"/>
      <w:r w:rsidRPr="00E24096">
        <w:t>Güthe</w:t>
      </w:r>
      <w:proofErr w:type="spellEnd"/>
      <w:r w:rsidRPr="00E24096">
        <w:t xml:space="preserve">, F., </w:t>
      </w:r>
      <w:r>
        <w:t xml:space="preserve">and </w:t>
      </w:r>
      <w:r w:rsidRPr="00E24096">
        <w:t>Syed, K., “Co-Firing of Hydrogen and Natural Gases in Lean Premixed Conventional and Reheat Burners (Alstom GT26)”</w:t>
      </w:r>
      <w:r>
        <w:t>.</w:t>
      </w:r>
      <w:r w:rsidRPr="00E24096">
        <w:t xml:space="preserve"> In ASME Turbo Expo 2014, GT2014-25813</w:t>
      </w:r>
    </w:p>
    <w:p w:rsidR="00D61F76" w:rsidRPr="00E24096" w:rsidRDefault="00D61F76" w:rsidP="00D61F76">
      <w:pPr>
        <w:ind w:firstLine="284"/>
      </w:pPr>
      <w:proofErr w:type="spellStart"/>
      <w:r w:rsidRPr="00E24096">
        <w:t>Zahirovic</w:t>
      </w:r>
      <w:proofErr w:type="spellEnd"/>
      <w:r w:rsidRPr="00E24096">
        <w:t xml:space="preserve">, S., </w:t>
      </w:r>
      <w:r>
        <w:t xml:space="preserve">and </w:t>
      </w:r>
      <w:r w:rsidRPr="00E24096">
        <w:t>Knapp, K. (2017) “</w:t>
      </w:r>
      <w:proofErr w:type="spellStart"/>
      <w:r w:rsidRPr="00E24096">
        <w:t>Ansaldo</w:t>
      </w:r>
      <w:proofErr w:type="spellEnd"/>
      <w:r w:rsidRPr="00E24096">
        <w:t xml:space="preserve"> GT26 (2011) Sequential Combustor Performance in Long-Term Commercial Operation”</w:t>
      </w:r>
      <w:r>
        <w:t>.</w:t>
      </w:r>
      <w:r w:rsidRPr="00E24096">
        <w:rPr>
          <w:iCs/>
        </w:rPr>
        <w:t xml:space="preserve"> In ASME Turbo Expo 2017</w:t>
      </w:r>
      <w:r w:rsidRPr="00E24096">
        <w:t>, GT2017-64289.</w:t>
      </w:r>
    </w:p>
    <w:p w:rsidR="00D61F76" w:rsidRPr="00E24096" w:rsidRDefault="00D61F76" w:rsidP="00D61F76">
      <w:pPr>
        <w:pStyle w:val="BodyTextIndent"/>
      </w:pPr>
    </w:p>
    <w:sectPr w:rsidR="00D61F76" w:rsidRPr="00E24096" w:rsidSect="00D61F76">
      <w:pgSz w:w="11907" w:h="16839" w:code="9"/>
      <w:pgMar w:top="1418" w:right="737" w:bottom="1418" w:left="737" w:header="720" w:footer="720" w:gutter="0"/>
      <w:cols w:space="567"/>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NimbusRomNo9L-Regu">
    <w:panose1 w:val="00000000000000000000"/>
    <w:charset w:val="00"/>
    <w:family w:val="auto"/>
    <w:notTrueType/>
    <w:pitch w:val="default"/>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434F1"/>
    <w:multiLevelType w:val="multilevel"/>
    <w:tmpl w:val="FEE4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BB47221"/>
    <w:multiLevelType w:val="hybridMultilevel"/>
    <w:tmpl w:val="7DD86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72933F20"/>
    <w:multiLevelType w:val="hybridMultilevel"/>
    <w:tmpl w:val="D91ED1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F76"/>
    <w:rsid w:val="00052983"/>
    <w:rsid w:val="000D11C2"/>
    <w:rsid w:val="002E6F52"/>
    <w:rsid w:val="00521BAF"/>
    <w:rsid w:val="005567AB"/>
    <w:rsid w:val="00570899"/>
    <w:rsid w:val="005932C9"/>
    <w:rsid w:val="005A351C"/>
    <w:rsid w:val="00767CAF"/>
    <w:rsid w:val="00844ACB"/>
    <w:rsid w:val="008D4AED"/>
    <w:rsid w:val="00925985"/>
    <w:rsid w:val="00983E49"/>
    <w:rsid w:val="00A0577B"/>
    <w:rsid w:val="00B2336A"/>
    <w:rsid w:val="00BA0D6D"/>
    <w:rsid w:val="00D61F76"/>
    <w:rsid w:val="00DA3438"/>
    <w:rsid w:val="00E445EE"/>
    <w:rsid w:val="00F25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qFormat="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F76"/>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n-GB" w:eastAsia="en-GB"/>
    </w:rPr>
  </w:style>
  <w:style w:type="paragraph" w:styleId="Heading1">
    <w:name w:val="heading 1"/>
    <w:aliases w:val="GPPS Heading 1"/>
    <w:basedOn w:val="NomenclatureClauseTitle"/>
    <w:next w:val="BodyTextIndent"/>
    <w:link w:val="Heading1Char"/>
    <w:qFormat/>
    <w:rsid w:val="00D61F76"/>
    <w:pPr>
      <w:outlineLvl w:val="0"/>
    </w:pPr>
  </w:style>
  <w:style w:type="paragraph" w:styleId="Heading2">
    <w:name w:val="heading 2"/>
    <w:aliases w:val="GPPS Heading 2"/>
    <w:basedOn w:val="Normal"/>
    <w:next w:val="BodyTextIndent"/>
    <w:link w:val="Heading2Char"/>
    <w:qFormat/>
    <w:rsid w:val="00D61F76"/>
    <w:pPr>
      <w:keepNext/>
      <w:spacing w:before="240"/>
      <w:outlineLvl w:val="1"/>
    </w:pPr>
    <w:rPr>
      <w:rFonts w:ascii="Arial" w:hAnsi="Arial" w:cs="Arial"/>
      <w:b/>
      <w:bCs/>
      <w:iCs/>
    </w:rPr>
  </w:style>
  <w:style w:type="paragraph" w:styleId="Heading3">
    <w:name w:val="heading 3"/>
    <w:aliases w:val="GPPS Heading 3"/>
    <w:basedOn w:val="Normal"/>
    <w:next w:val="Normal"/>
    <w:link w:val="Heading3Char"/>
    <w:qFormat/>
    <w:rsid w:val="00D61F76"/>
    <w:pPr>
      <w:keepNext/>
      <w:spacing w:before="240"/>
      <w:outlineLvl w:val="2"/>
    </w:pPr>
    <w:rPr>
      <w:rFonts w:ascii="Arial" w:hAnsi="Arial" w:cs="Arial"/>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GPPS Heading 1 Char"/>
    <w:basedOn w:val="DefaultParagraphFont"/>
    <w:link w:val="Heading1"/>
    <w:rsid w:val="00D61F76"/>
    <w:rPr>
      <w:rFonts w:ascii="Arial" w:eastAsia="Times New Roman" w:hAnsi="Arial" w:cs="Times New Roman"/>
      <w:b/>
      <w:caps/>
      <w:sz w:val="20"/>
      <w:szCs w:val="20"/>
      <w:lang w:val="en-GB" w:eastAsia="en-GB"/>
    </w:rPr>
  </w:style>
  <w:style w:type="character" w:customStyle="1" w:styleId="Heading2Char">
    <w:name w:val="Heading 2 Char"/>
    <w:aliases w:val="GPPS Heading 2 Char"/>
    <w:basedOn w:val="DefaultParagraphFont"/>
    <w:link w:val="Heading2"/>
    <w:rsid w:val="00D61F76"/>
    <w:rPr>
      <w:rFonts w:ascii="Arial" w:eastAsia="Times New Roman" w:hAnsi="Arial" w:cs="Arial"/>
      <w:b/>
      <w:bCs/>
      <w:iCs/>
      <w:sz w:val="20"/>
      <w:szCs w:val="20"/>
      <w:lang w:val="en-GB" w:eastAsia="en-GB"/>
    </w:rPr>
  </w:style>
  <w:style w:type="character" w:customStyle="1" w:styleId="Heading3Char">
    <w:name w:val="Heading 3 Char"/>
    <w:aliases w:val="GPPS Heading 3 Char"/>
    <w:basedOn w:val="DefaultParagraphFont"/>
    <w:link w:val="Heading3"/>
    <w:rsid w:val="00D61F76"/>
    <w:rPr>
      <w:rFonts w:ascii="Arial" w:eastAsia="Times New Roman" w:hAnsi="Arial" w:cs="Arial"/>
      <w:bCs/>
      <w:i/>
      <w:sz w:val="20"/>
      <w:szCs w:val="26"/>
      <w:lang w:val="en-GB" w:eastAsia="en-GB"/>
    </w:rPr>
  </w:style>
  <w:style w:type="paragraph" w:styleId="BodyTextIndent">
    <w:name w:val="Body Text Indent"/>
    <w:aliases w:val="GPPS Body Text Indent"/>
    <w:basedOn w:val="Normal"/>
    <w:link w:val="BodyTextIndentChar"/>
    <w:qFormat/>
    <w:rsid w:val="00D61F76"/>
    <w:pPr>
      <w:spacing w:line="240" w:lineRule="exact"/>
      <w:ind w:firstLine="360"/>
    </w:pPr>
  </w:style>
  <w:style w:type="character" w:customStyle="1" w:styleId="BodyTextIndentChar">
    <w:name w:val="Body Text Indent Char"/>
    <w:aliases w:val="GPPS Body Text Indent Char"/>
    <w:basedOn w:val="DefaultParagraphFont"/>
    <w:link w:val="BodyTextIndent"/>
    <w:rsid w:val="00D61F76"/>
    <w:rPr>
      <w:rFonts w:ascii="Times New Roman" w:eastAsia="Times New Roman" w:hAnsi="Times New Roman" w:cs="Times New Roman"/>
      <w:sz w:val="20"/>
      <w:szCs w:val="20"/>
      <w:lang w:val="en-GB" w:eastAsia="en-GB"/>
    </w:rPr>
  </w:style>
  <w:style w:type="paragraph" w:customStyle="1" w:styleId="AcknowledgmentsClauseTitle">
    <w:name w:val="Acknowledgments Clause Title"/>
    <w:basedOn w:val="Normal"/>
    <w:next w:val="BodyTextIndent"/>
    <w:rsid w:val="00D61F76"/>
    <w:pPr>
      <w:keepNext/>
      <w:spacing w:before="240"/>
    </w:pPr>
    <w:rPr>
      <w:rFonts w:ascii="Arial" w:hAnsi="Arial"/>
      <w:b/>
      <w:caps/>
    </w:rPr>
  </w:style>
  <w:style w:type="paragraph" w:customStyle="1" w:styleId="Affiliation">
    <w:name w:val="Affiliation"/>
    <w:basedOn w:val="Normal"/>
    <w:link w:val="AffiliationChar"/>
    <w:rsid w:val="00D61F76"/>
    <w:pPr>
      <w:jc w:val="center"/>
    </w:pPr>
    <w:rPr>
      <w:rFonts w:ascii="Arial" w:hAnsi="Arial"/>
    </w:rPr>
  </w:style>
  <w:style w:type="paragraph" w:customStyle="1" w:styleId="GPPSAuthor">
    <w:name w:val="GPPS Author"/>
    <w:basedOn w:val="Normal"/>
    <w:next w:val="Affiliation"/>
    <w:qFormat/>
    <w:rsid w:val="00D61F76"/>
    <w:pPr>
      <w:keepNext/>
      <w:jc w:val="center"/>
    </w:pPr>
    <w:rPr>
      <w:rFonts w:ascii="Arial" w:hAnsi="Arial"/>
      <w:b/>
    </w:rPr>
  </w:style>
  <w:style w:type="paragraph" w:customStyle="1" w:styleId="GPPSDocumentNumber">
    <w:name w:val="GPPS Document Number"/>
    <w:basedOn w:val="Normal"/>
    <w:next w:val="BodyTextIndent"/>
    <w:qFormat/>
    <w:rsid w:val="00D61F76"/>
    <w:pPr>
      <w:jc w:val="right"/>
    </w:pPr>
    <w:rPr>
      <w:rFonts w:ascii="Arial" w:hAnsi="Arial"/>
      <w:b/>
      <w:sz w:val="36"/>
    </w:rPr>
  </w:style>
  <w:style w:type="paragraph" w:customStyle="1" w:styleId="GPPSReferences">
    <w:name w:val="GPPS References"/>
    <w:basedOn w:val="Normal"/>
    <w:qFormat/>
    <w:rsid w:val="00D61F76"/>
    <w:pPr>
      <w:tabs>
        <w:tab w:val="left" w:pos="540"/>
      </w:tabs>
    </w:pPr>
    <w:rPr>
      <w:kern w:val="14"/>
      <w:lang w:val="en-US" w:eastAsia="en-US"/>
    </w:rPr>
  </w:style>
  <w:style w:type="paragraph" w:customStyle="1" w:styleId="GPPSFigureCaption">
    <w:name w:val="GPPS Figure Caption"/>
    <w:basedOn w:val="Normal"/>
    <w:next w:val="BodyTextIndent"/>
    <w:qFormat/>
    <w:rsid w:val="00D61F76"/>
    <w:pPr>
      <w:spacing w:before="120"/>
      <w:jc w:val="center"/>
    </w:pPr>
    <w:rPr>
      <w:rFonts w:ascii="Arial" w:hAnsi="Arial"/>
      <w:b/>
    </w:rPr>
  </w:style>
  <w:style w:type="paragraph" w:styleId="Footer">
    <w:name w:val="footer"/>
    <w:basedOn w:val="Normal"/>
    <w:next w:val="Header"/>
    <w:link w:val="FooterChar"/>
    <w:rsid w:val="00D61F76"/>
    <w:pPr>
      <w:tabs>
        <w:tab w:val="center" w:pos="5760"/>
        <w:tab w:val="right" w:pos="10800"/>
      </w:tabs>
    </w:pPr>
  </w:style>
  <w:style w:type="character" w:customStyle="1" w:styleId="FooterChar">
    <w:name w:val="Footer Char"/>
    <w:basedOn w:val="DefaultParagraphFont"/>
    <w:link w:val="Footer"/>
    <w:rsid w:val="00D61F76"/>
    <w:rPr>
      <w:rFonts w:ascii="Times New Roman" w:eastAsia="Times New Roman" w:hAnsi="Times New Roman" w:cs="Times New Roman"/>
      <w:sz w:val="20"/>
      <w:szCs w:val="20"/>
      <w:lang w:val="en-GB" w:eastAsia="en-GB"/>
    </w:rPr>
  </w:style>
  <w:style w:type="paragraph" w:styleId="Header">
    <w:name w:val="header"/>
    <w:basedOn w:val="Normal"/>
    <w:next w:val="Footer"/>
    <w:link w:val="HeaderChar"/>
    <w:rsid w:val="00D61F76"/>
  </w:style>
  <w:style w:type="character" w:customStyle="1" w:styleId="HeaderChar">
    <w:name w:val="Header Char"/>
    <w:basedOn w:val="DefaultParagraphFont"/>
    <w:link w:val="Header"/>
    <w:rsid w:val="00D61F76"/>
    <w:rPr>
      <w:rFonts w:ascii="Times New Roman" w:eastAsia="Times New Roman" w:hAnsi="Times New Roman" w:cs="Times New Roman"/>
      <w:sz w:val="20"/>
      <w:szCs w:val="20"/>
      <w:lang w:val="en-GB" w:eastAsia="en-GB"/>
    </w:rPr>
  </w:style>
  <w:style w:type="paragraph" w:styleId="FootnoteText">
    <w:name w:val="footnote text"/>
    <w:basedOn w:val="Normal"/>
    <w:link w:val="FootnoteTextChar"/>
    <w:semiHidden/>
    <w:rsid w:val="00D61F76"/>
    <w:pPr>
      <w:ind w:firstLine="360"/>
    </w:pPr>
    <w:rPr>
      <w:sz w:val="16"/>
    </w:rPr>
  </w:style>
  <w:style w:type="character" w:customStyle="1" w:styleId="FootnoteTextChar">
    <w:name w:val="Footnote Text Char"/>
    <w:basedOn w:val="DefaultParagraphFont"/>
    <w:link w:val="FootnoteText"/>
    <w:semiHidden/>
    <w:rsid w:val="00D61F76"/>
    <w:rPr>
      <w:rFonts w:ascii="Times New Roman" w:eastAsia="Times New Roman" w:hAnsi="Times New Roman" w:cs="Times New Roman"/>
      <w:sz w:val="16"/>
      <w:szCs w:val="20"/>
      <w:lang w:val="en-GB" w:eastAsia="en-GB"/>
    </w:rPr>
  </w:style>
  <w:style w:type="paragraph" w:customStyle="1" w:styleId="NomenclatureClauseTitle">
    <w:name w:val="Nomenclature Clause Title"/>
    <w:basedOn w:val="Normal"/>
    <w:next w:val="BodyTextIndent"/>
    <w:rsid w:val="00D61F76"/>
    <w:pPr>
      <w:keepNext/>
      <w:spacing w:before="240"/>
    </w:pPr>
    <w:rPr>
      <w:rFonts w:ascii="Arial" w:hAnsi="Arial"/>
      <w:b/>
      <w:caps/>
    </w:rPr>
  </w:style>
  <w:style w:type="paragraph" w:customStyle="1" w:styleId="ReferencesClauseTitle">
    <w:name w:val="References Clause Title"/>
    <w:basedOn w:val="Normal"/>
    <w:next w:val="BodyTextIndent"/>
    <w:rsid w:val="00D61F76"/>
    <w:pPr>
      <w:keepNext/>
      <w:spacing w:before="240"/>
    </w:pPr>
    <w:rPr>
      <w:rFonts w:ascii="Arial" w:hAnsi="Arial"/>
      <w:b/>
      <w:caps/>
    </w:rPr>
  </w:style>
  <w:style w:type="paragraph" w:customStyle="1" w:styleId="GPPSTableCaption">
    <w:name w:val="GPPS Table Caption"/>
    <w:basedOn w:val="Normal"/>
    <w:next w:val="BodyTextIndent"/>
    <w:qFormat/>
    <w:rsid w:val="00D61F76"/>
    <w:pPr>
      <w:jc w:val="center"/>
    </w:pPr>
    <w:rPr>
      <w:rFonts w:ascii="Arial" w:hAnsi="Arial"/>
      <w:b/>
    </w:rPr>
  </w:style>
  <w:style w:type="paragraph" w:customStyle="1" w:styleId="GPPSAddress">
    <w:name w:val="GPPS Address"/>
    <w:basedOn w:val="GPPSEmailaddress"/>
    <w:link w:val="GPPSAddressChar"/>
    <w:qFormat/>
    <w:rsid w:val="00D61F76"/>
  </w:style>
  <w:style w:type="paragraph" w:customStyle="1" w:styleId="GPPSEquation">
    <w:name w:val="GPPS Equation"/>
    <w:basedOn w:val="BodyTextIndent"/>
    <w:link w:val="GPPSEquationChar"/>
    <w:qFormat/>
    <w:rsid w:val="00D61F76"/>
    <w:pPr>
      <w:spacing w:before="120" w:after="120" w:line="240" w:lineRule="auto"/>
      <w:ind w:firstLine="0"/>
      <w:jc w:val="center"/>
    </w:pPr>
  </w:style>
  <w:style w:type="paragraph" w:styleId="Title">
    <w:name w:val="Title"/>
    <w:aliases w:val="GPPS Title"/>
    <w:basedOn w:val="Normal"/>
    <w:link w:val="TitleChar"/>
    <w:qFormat/>
    <w:rsid w:val="00D61F76"/>
    <w:pPr>
      <w:spacing w:before="760"/>
      <w:jc w:val="center"/>
    </w:pPr>
    <w:rPr>
      <w:rFonts w:ascii="Arial" w:hAnsi="Arial"/>
      <w:b/>
      <w:caps/>
      <w:sz w:val="24"/>
    </w:rPr>
  </w:style>
  <w:style w:type="character" w:customStyle="1" w:styleId="TitleChar">
    <w:name w:val="Title Char"/>
    <w:aliases w:val="GPPS Title Char"/>
    <w:basedOn w:val="DefaultParagraphFont"/>
    <w:link w:val="Title"/>
    <w:rsid w:val="00D61F76"/>
    <w:rPr>
      <w:rFonts w:ascii="Arial" w:eastAsia="Times New Roman" w:hAnsi="Arial" w:cs="Times New Roman"/>
      <w:b/>
      <w:caps/>
      <w:sz w:val="24"/>
      <w:szCs w:val="20"/>
      <w:lang w:val="en-GB" w:eastAsia="en-GB"/>
    </w:rPr>
  </w:style>
  <w:style w:type="character" w:customStyle="1" w:styleId="GPPSEmailaddressChar">
    <w:name w:val="GPPS Email address Char"/>
    <w:basedOn w:val="AffiliationChar"/>
    <w:link w:val="GPPSEmailaddress"/>
    <w:rsid w:val="00D61F76"/>
    <w:rPr>
      <w:rFonts w:ascii="Arial" w:eastAsia="Times New Roman" w:hAnsi="Arial" w:cs="Times New Roman"/>
      <w:sz w:val="20"/>
      <w:szCs w:val="20"/>
      <w:lang w:val="en-GB" w:eastAsia="en-GB"/>
    </w:rPr>
  </w:style>
  <w:style w:type="paragraph" w:customStyle="1" w:styleId="GPPSEmailaddress">
    <w:name w:val="GPPS Email address"/>
    <w:basedOn w:val="Affiliation"/>
    <w:link w:val="GPPSEmailaddressChar"/>
    <w:qFormat/>
    <w:rsid w:val="00D61F76"/>
  </w:style>
  <w:style w:type="paragraph" w:customStyle="1" w:styleId="GPPSConferenceDetails">
    <w:name w:val="GPPS Conference Details"/>
    <w:basedOn w:val="Normal"/>
    <w:link w:val="GPPSConferenceDetailsChar"/>
    <w:qFormat/>
    <w:rsid w:val="00D61F76"/>
    <w:pPr>
      <w:jc w:val="right"/>
    </w:pPr>
    <w:rPr>
      <w:rFonts w:ascii="Arial" w:hAnsi="Arial" w:cs="Arial"/>
      <w:noProof/>
    </w:rPr>
  </w:style>
  <w:style w:type="character" w:customStyle="1" w:styleId="AffiliationChar">
    <w:name w:val="Affiliation Char"/>
    <w:basedOn w:val="DefaultParagraphFont"/>
    <w:link w:val="Affiliation"/>
    <w:rsid w:val="00D61F76"/>
    <w:rPr>
      <w:rFonts w:ascii="Arial" w:eastAsia="Times New Roman" w:hAnsi="Arial" w:cs="Times New Roman"/>
      <w:sz w:val="20"/>
      <w:szCs w:val="20"/>
      <w:lang w:val="en-GB" w:eastAsia="en-GB"/>
    </w:rPr>
  </w:style>
  <w:style w:type="character" w:customStyle="1" w:styleId="ContactinfoChar">
    <w:name w:val="Contact info Char"/>
    <w:basedOn w:val="AffiliationChar"/>
    <w:rsid w:val="00D61F76"/>
    <w:rPr>
      <w:rFonts w:ascii="Arial" w:eastAsia="Times New Roman" w:hAnsi="Arial" w:cs="Times New Roman"/>
      <w:sz w:val="20"/>
      <w:szCs w:val="20"/>
      <w:lang w:val="en-GB" w:eastAsia="en-GB"/>
    </w:rPr>
  </w:style>
  <w:style w:type="character" w:customStyle="1" w:styleId="GPPSConferenceDetailsChar">
    <w:name w:val="GPPS Conference Details Char"/>
    <w:basedOn w:val="DefaultParagraphFont"/>
    <w:link w:val="GPPSConferenceDetails"/>
    <w:rsid w:val="00D61F76"/>
    <w:rPr>
      <w:rFonts w:ascii="Arial" w:eastAsia="Times New Roman" w:hAnsi="Arial" w:cs="Arial"/>
      <w:noProof/>
      <w:sz w:val="20"/>
      <w:szCs w:val="20"/>
      <w:lang w:val="en-GB" w:eastAsia="en-GB"/>
    </w:rPr>
  </w:style>
  <w:style w:type="paragraph" w:customStyle="1" w:styleId="Heading1-topofcolumn">
    <w:name w:val="Heading 1 - top of column"/>
    <w:basedOn w:val="Heading1"/>
    <w:link w:val="Heading1-topofcolumnChar"/>
    <w:rsid w:val="00D61F76"/>
    <w:pPr>
      <w:spacing w:before="0"/>
    </w:pPr>
  </w:style>
  <w:style w:type="character" w:customStyle="1" w:styleId="GPPSAddressChar">
    <w:name w:val="GPPS Address Char"/>
    <w:basedOn w:val="GPPSEmailaddressChar"/>
    <w:link w:val="GPPSAddress"/>
    <w:rsid w:val="00D61F76"/>
    <w:rPr>
      <w:rFonts w:ascii="Arial" w:eastAsia="Times New Roman" w:hAnsi="Arial" w:cs="Times New Roman"/>
      <w:sz w:val="20"/>
      <w:szCs w:val="20"/>
      <w:lang w:val="en-GB" w:eastAsia="en-GB"/>
    </w:rPr>
  </w:style>
  <w:style w:type="character" w:customStyle="1" w:styleId="Heading1-topofcolumnChar">
    <w:name w:val="Heading 1 - top of column Char"/>
    <w:basedOn w:val="Heading1Char"/>
    <w:link w:val="Heading1-topofcolumn"/>
    <w:rsid w:val="00D61F76"/>
    <w:rPr>
      <w:rFonts w:ascii="Arial" w:eastAsia="Times New Roman" w:hAnsi="Arial" w:cs="Times New Roman"/>
      <w:b/>
      <w:caps/>
      <w:sz w:val="20"/>
      <w:szCs w:val="20"/>
      <w:lang w:val="en-GB" w:eastAsia="en-GB"/>
    </w:rPr>
  </w:style>
  <w:style w:type="paragraph" w:styleId="NoSpacing">
    <w:name w:val="No Spacing"/>
    <w:uiPriority w:val="1"/>
    <w:rsid w:val="00D61F76"/>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n-GB" w:eastAsia="en-GB"/>
    </w:rPr>
  </w:style>
  <w:style w:type="character" w:customStyle="1" w:styleId="GPPSEquationChar">
    <w:name w:val="GPPS Equation Char"/>
    <w:basedOn w:val="BodyTextIndentChar"/>
    <w:link w:val="GPPSEquation"/>
    <w:rsid w:val="00D61F76"/>
    <w:rPr>
      <w:rFonts w:ascii="Times New Roman" w:eastAsia="Times New Roman" w:hAnsi="Times New Roman" w:cs="Times New Roman"/>
      <w:sz w:val="20"/>
      <w:szCs w:val="20"/>
      <w:lang w:val="en-GB" w:eastAsia="en-GB"/>
    </w:rPr>
  </w:style>
  <w:style w:type="character" w:styleId="Hyperlink">
    <w:name w:val="Hyperlink"/>
    <w:basedOn w:val="DefaultParagraphFont"/>
    <w:rsid w:val="00D61F76"/>
    <w:rPr>
      <w:color w:val="0000FF"/>
      <w:u w:val="single"/>
    </w:rPr>
  </w:style>
  <w:style w:type="character" w:styleId="FollowedHyperlink">
    <w:name w:val="FollowedHyperlink"/>
    <w:basedOn w:val="DefaultParagraphFont"/>
    <w:rsid w:val="00D61F76"/>
    <w:rPr>
      <w:color w:val="800080"/>
      <w:u w:val="single"/>
    </w:rPr>
  </w:style>
  <w:style w:type="paragraph" w:styleId="NormalWeb">
    <w:name w:val="Normal (Web)"/>
    <w:basedOn w:val="Normal"/>
    <w:uiPriority w:val="99"/>
    <w:unhideWhenUsed/>
    <w:rsid w:val="00D61F76"/>
    <w:pPr>
      <w:suppressAutoHyphens w:val="0"/>
      <w:overflowPunct/>
      <w:autoSpaceDE/>
      <w:autoSpaceDN/>
      <w:adjustRightInd/>
      <w:spacing w:before="100" w:beforeAutospacing="1" w:after="100" w:afterAutospacing="1"/>
      <w:jc w:val="left"/>
      <w:textAlignment w:val="auto"/>
    </w:pPr>
    <w:rPr>
      <w:sz w:val="24"/>
      <w:szCs w:val="24"/>
    </w:rPr>
  </w:style>
  <w:style w:type="paragraph" w:customStyle="1" w:styleId="ConferenceDetails">
    <w:name w:val="Conference Details"/>
    <w:basedOn w:val="Normal"/>
    <w:link w:val="ConferenceDetailsChar"/>
    <w:qFormat/>
    <w:rsid w:val="00D61F76"/>
    <w:pPr>
      <w:jc w:val="right"/>
    </w:pPr>
    <w:rPr>
      <w:rFonts w:ascii="Arial" w:hAnsi="Arial" w:cs="Arial"/>
      <w:noProof/>
    </w:rPr>
  </w:style>
  <w:style w:type="character" w:customStyle="1" w:styleId="ConferenceDetailsChar">
    <w:name w:val="Conference Details Char"/>
    <w:basedOn w:val="DefaultParagraphFont"/>
    <w:link w:val="ConferenceDetails"/>
    <w:rsid w:val="00D61F76"/>
    <w:rPr>
      <w:rFonts w:ascii="Arial" w:eastAsia="Times New Roman" w:hAnsi="Arial" w:cs="Arial"/>
      <w:noProof/>
      <w:sz w:val="20"/>
      <w:szCs w:val="20"/>
      <w:lang w:val="en-GB" w:eastAsia="en-GB"/>
    </w:rPr>
  </w:style>
  <w:style w:type="paragraph" w:styleId="BalloonText">
    <w:name w:val="Balloon Text"/>
    <w:basedOn w:val="Normal"/>
    <w:link w:val="BalloonTextChar"/>
    <w:semiHidden/>
    <w:unhideWhenUsed/>
    <w:rsid w:val="00D61F76"/>
    <w:rPr>
      <w:rFonts w:ascii="Lucida Grande" w:hAnsi="Lucida Grande" w:cs="Lucida Grande"/>
      <w:sz w:val="18"/>
      <w:szCs w:val="18"/>
    </w:rPr>
  </w:style>
  <w:style w:type="character" w:customStyle="1" w:styleId="BalloonTextChar">
    <w:name w:val="Balloon Text Char"/>
    <w:basedOn w:val="DefaultParagraphFont"/>
    <w:link w:val="BalloonText"/>
    <w:semiHidden/>
    <w:rsid w:val="00D61F76"/>
    <w:rPr>
      <w:rFonts w:ascii="Lucida Grande" w:eastAsia="Times New Roman" w:hAnsi="Lucida Grande" w:cs="Lucida Grande"/>
      <w:sz w:val="18"/>
      <w:szCs w:val="18"/>
      <w:lang w:val="en-GB" w:eastAsia="en-GB"/>
    </w:rPr>
  </w:style>
  <w:style w:type="character" w:styleId="Strong">
    <w:name w:val="Strong"/>
    <w:basedOn w:val="DefaultParagraphFont"/>
    <w:uiPriority w:val="22"/>
    <w:qFormat/>
    <w:rsid w:val="00D61F76"/>
    <w:rPr>
      <w:b/>
      <w:bCs/>
    </w:rPr>
  </w:style>
  <w:style w:type="paragraph" w:styleId="Caption">
    <w:name w:val="caption"/>
    <w:basedOn w:val="Normal"/>
    <w:next w:val="Normal"/>
    <w:uiPriority w:val="35"/>
    <w:unhideWhenUsed/>
    <w:qFormat/>
    <w:rsid w:val="00D61F76"/>
    <w:pPr>
      <w:spacing w:after="200"/>
    </w:pPr>
    <w:rPr>
      <w:b/>
      <w:bCs/>
      <w:color w:val="4F81BD" w:themeColor="accent1"/>
      <w:sz w:val="18"/>
      <w:szCs w:val="18"/>
    </w:rPr>
  </w:style>
  <w:style w:type="table" w:styleId="TableGrid">
    <w:name w:val="Table Grid"/>
    <w:basedOn w:val="TableNormal"/>
    <w:uiPriority w:val="59"/>
    <w:rsid w:val="00D61F76"/>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D61F76"/>
    <w:rPr>
      <w:sz w:val="16"/>
      <w:szCs w:val="16"/>
    </w:rPr>
  </w:style>
  <w:style w:type="paragraph" w:styleId="CommentText">
    <w:name w:val="annotation text"/>
    <w:basedOn w:val="Normal"/>
    <w:link w:val="CommentTextChar"/>
    <w:rsid w:val="00D61F76"/>
  </w:style>
  <w:style w:type="character" w:customStyle="1" w:styleId="CommentTextChar">
    <w:name w:val="Comment Text Char"/>
    <w:basedOn w:val="DefaultParagraphFont"/>
    <w:link w:val="CommentText"/>
    <w:rsid w:val="00D61F76"/>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semiHidden/>
    <w:unhideWhenUsed/>
    <w:rsid w:val="00D61F76"/>
    <w:rPr>
      <w:b/>
      <w:bCs/>
    </w:rPr>
  </w:style>
  <w:style w:type="character" w:customStyle="1" w:styleId="CommentSubjectChar">
    <w:name w:val="Comment Subject Char"/>
    <w:basedOn w:val="CommentTextChar"/>
    <w:link w:val="CommentSubject"/>
    <w:semiHidden/>
    <w:rsid w:val="00D61F76"/>
    <w:rPr>
      <w:rFonts w:ascii="Times New Roman" w:eastAsia="Times New Roman" w:hAnsi="Times New Roman" w:cs="Times New Roman"/>
      <w:b/>
      <w:bCs/>
      <w:sz w:val="20"/>
      <w:szCs w:val="20"/>
      <w:lang w:val="en-GB" w:eastAsia="en-GB"/>
    </w:rPr>
  </w:style>
  <w:style w:type="paragraph" w:styleId="Revision">
    <w:name w:val="Revision"/>
    <w:hidden/>
    <w:uiPriority w:val="99"/>
    <w:semiHidden/>
    <w:rsid w:val="00D61F76"/>
    <w:pPr>
      <w:spacing w:after="0" w:line="240" w:lineRule="auto"/>
    </w:pPr>
    <w:rPr>
      <w:rFonts w:ascii="Times New Roman" w:eastAsia="Times New Roman" w:hAnsi="Times New Roman" w:cs="Times New Roman"/>
      <w:sz w:val="20"/>
      <w:szCs w:val="20"/>
      <w:lang w:val="en-GB" w:eastAsia="en-GB"/>
    </w:rPr>
  </w:style>
  <w:style w:type="character" w:styleId="Emphasis">
    <w:name w:val="Emphasis"/>
    <w:basedOn w:val="DefaultParagraphFont"/>
    <w:uiPriority w:val="20"/>
    <w:qFormat/>
    <w:rsid w:val="00D61F7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qFormat="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F76"/>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n-GB" w:eastAsia="en-GB"/>
    </w:rPr>
  </w:style>
  <w:style w:type="paragraph" w:styleId="Heading1">
    <w:name w:val="heading 1"/>
    <w:aliases w:val="GPPS Heading 1"/>
    <w:basedOn w:val="NomenclatureClauseTitle"/>
    <w:next w:val="BodyTextIndent"/>
    <w:link w:val="Heading1Char"/>
    <w:qFormat/>
    <w:rsid w:val="00D61F76"/>
    <w:pPr>
      <w:outlineLvl w:val="0"/>
    </w:pPr>
  </w:style>
  <w:style w:type="paragraph" w:styleId="Heading2">
    <w:name w:val="heading 2"/>
    <w:aliases w:val="GPPS Heading 2"/>
    <w:basedOn w:val="Normal"/>
    <w:next w:val="BodyTextIndent"/>
    <w:link w:val="Heading2Char"/>
    <w:qFormat/>
    <w:rsid w:val="00D61F76"/>
    <w:pPr>
      <w:keepNext/>
      <w:spacing w:before="240"/>
      <w:outlineLvl w:val="1"/>
    </w:pPr>
    <w:rPr>
      <w:rFonts w:ascii="Arial" w:hAnsi="Arial" w:cs="Arial"/>
      <w:b/>
      <w:bCs/>
      <w:iCs/>
    </w:rPr>
  </w:style>
  <w:style w:type="paragraph" w:styleId="Heading3">
    <w:name w:val="heading 3"/>
    <w:aliases w:val="GPPS Heading 3"/>
    <w:basedOn w:val="Normal"/>
    <w:next w:val="Normal"/>
    <w:link w:val="Heading3Char"/>
    <w:qFormat/>
    <w:rsid w:val="00D61F76"/>
    <w:pPr>
      <w:keepNext/>
      <w:spacing w:before="240"/>
      <w:outlineLvl w:val="2"/>
    </w:pPr>
    <w:rPr>
      <w:rFonts w:ascii="Arial" w:hAnsi="Arial" w:cs="Arial"/>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GPPS Heading 1 Char"/>
    <w:basedOn w:val="DefaultParagraphFont"/>
    <w:link w:val="Heading1"/>
    <w:rsid w:val="00D61F76"/>
    <w:rPr>
      <w:rFonts w:ascii="Arial" w:eastAsia="Times New Roman" w:hAnsi="Arial" w:cs="Times New Roman"/>
      <w:b/>
      <w:caps/>
      <w:sz w:val="20"/>
      <w:szCs w:val="20"/>
      <w:lang w:val="en-GB" w:eastAsia="en-GB"/>
    </w:rPr>
  </w:style>
  <w:style w:type="character" w:customStyle="1" w:styleId="Heading2Char">
    <w:name w:val="Heading 2 Char"/>
    <w:aliases w:val="GPPS Heading 2 Char"/>
    <w:basedOn w:val="DefaultParagraphFont"/>
    <w:link w:val="Heading2"/>
    <w:rsid w:val="00D61F76"/>
    <w:rPr>
      <w:rFonts w:ascii="Arial" w:eastAsia="Times New Roman" w:hAnsi="Arial" w:cs="Arial"/>
      <w:b/>
      <w:bCs/>
      <w:iCs/>
      <w:sz w:val="20"/>
      <w:szCs w:val="20"/>
      <w:lang w:val="en-GB" w:eastAsia="en-GB"/>
    </w:rPr>
  </w:style>
  <w:style w:type="character" w:customStyle="1" w:styleId="Heading3Char">
    <w:name w:val="Heading 3 Char"/>
    <w:aliases w:val="GPPS Heading 3 Char"/>
    <w:basedOn w:val="DefaultParagraphFont"/>
    <w:link w:val="Heading3"/>
    <w:rsid w:val="00D61F76"/>
    <w:rPr>
      <w:rFonts w:ascii="Arial" w:eastAsia="Times New Roman" w:hAnsi="Arial" w:cs="Arial"/>
      <w:bCs/>
      <w:i/>
      <w:sz w:val="20"/>
      <w:szCs w:val="26"/>
      <w:lang w:val="en-GB" w:eastAsia="en-GB"/>
    </w:rPr>
  </w:style>
  <w:style w:type="paragraph" w:styleId="BodyTextIndent">
    <w:name w:val="Body Text Indent"/>
    <w:aliases w:val="GPPS Body Text Indent"/>
    <w:basedOn w:val="Normal"/>
    <w:link w:val="BodyTextIndentChar"/>
    <w:qFormat/>
    <w:rsid w:val="00D61F76"/>
    <w:pPr>
      <w:spacing w:line="240" w:lineRule="exact"/>
      <w:ind w:firstLine="360"/>
    </w:pPr>
  </w:style>
  <w:style w:type="character" w:customStyle="1" w:styleId="BodyTextIndentChar">
    <w:name w:val="Body Text Indent Char"/>
    <w:aliases w:val="GPPS Body Text Indent Char"/>
    <w:basedOn w:val="DefaultParagraphFont"/>
    <w:link w:val="BodyTextIndent"/>
    <w:rsid w:val="00D61F76"/>
    <w:rPr>
      <w:rFonts w:ascii="Times New Roman" w:eastAsia="Times New Roman" w:hAnsi="Times New Roman" w:cs="Times New Roman"/>
      <w:sz w:val="20"/>
      <w:szCs w:val="20"/>
      <w:lang w:val="en-GB" w:eastAsia="en-GB"/>
    </w:rPr>
  </w:style>
  <w:style w:type="paragraph" w:customStyle="1" w:styleId="AcknowledgmentsClauseTitle">
    <w:name w:val="Acknowledgments Clause Title"/>
    <w:basedOn w:val="Normal"/>
    <w:next w:val="BodyTextIndent"/>
    <w:rsid w:val="00D61F76"/>
    <w:pPr>
      <w:keepNext/>
      <w:spacing w:before="240"/>
    </w:pPr>
    <w:rPr>
      <w:rFonts w:ascii="Arial" w:hAnsi="Arial"/>
      <w:b/>
      <w:caps/>
    </w:rPr>
  </w:style>
  <w:style w:type="paragraph" w:customStyle="1" w:styleId="Affiliation">
    <w:name w:val="Affiliation"/>
    <w:basedOn w:val="Normal"/>
    <w:link w:val="AffiliationChar"/>
    <w:rsid w:val="00D61F76"/>
    <w:pPr>
      <w:jc w:val="center"/>
    </w:pPr>
    <w:rPr>
      <w:rFonts w:ascii="Arial" w:hAnsi="Arial"/>
    </w:rPr>
  </w:style>
  <w:style w:type="paragraph" w:customStyle="1" w:styleId="GPPSAuthor">
    <w:name w:val="GPPS Author"/>
    <w:basedOn w:val="Normal"/>
    <w:next w:val="Affiliation"/>
    <w:qFormat/>
    <w:rsid w:val="00D61F76"/>
    <w:pPr>
      <w:keepNext/>
      <w:jc w:val="center"/>
    </w:pPr>
    <w:rPr>
      <w:rFonts w:ascii="Arial" w:hAnsi="Arial"/>
      <w:b/>
    </w:rPr>
  </w:style>
  <w:style w:type="paragraph" w:customStyle="1" w:styleId="GPPSDocumentNumber">
    <w:name w:val="GPPS Document Number"/>
    <w:basedOn w:val="Normal"/>
    <w:next w:val="BodyTextIndent"/>
    <w:qFormat/>
    <w:rsid w:val="00D61F76"/>
    <w:pPr>
      <w:jc w:val="right"/>
    </w:pPr>
    <w:rPr>
      <w:rFonts w:ascii="Arial" w:hAnsi="Arial"/>
      <w:b/>
      <w:sz w:val="36"/>
    </w:rPr>
  </w:style>
  <w:style w:type="paragraph" w:customStyle="1" w:styleId="GPPSReferences">
    <w:name w:val="GPPS References"/>
    <w:basedOn w:val="Normal"/>
    <w:qFormat/>
    <w:rsid w:val="00D61F76"/>
    <w:pPr>
      <w:tabs>
        <w:tab w:val="left" w:pos="540"/>
      </w:tabs>
    </w:pPr>
    <w:rPr>
      <w:kern w:val="14"/>
      <w:lang w:val="en-US" w:eastAsia="en-US"/>
    </w:rPr>
  </w:style>
  <w:style w:type="paragraph" w:customStyle="1" w:styleId="GPPSFigureCaption">
    <w:name w:val="GPPS Figure Caption"/>
    <w:basedOn w:val="Normal"/>
    <w:next w:val="BodyTextIndent"/>
    <w:qFormat/>
    <w:rsid w:val="00D61F76"/>
    <w:pPr>
      <w:spacing w:before="120"/>
      <w:jc w:val="center"/>
    </w:pPr>
    <w:rPr>
      <w:rFonts w:ascii="Arial" w:hAnsi="Arial"/>
      <w:b/>
    </w:rPr>
  </w:style>
  <w:style w:type="paragraph" w:styleId="Footer">
    <w:name w:val="footer"/>
    <w:basedOn w:val="Normal"/>
    <w:next w:val="Header"/>
    <w:link w:val="FooterChar"/>
    <w:rsid w:val="00D61F76"/>
    <w:pPr>
      <w:tabs>
        <w:tab w:val="center" w:pos="5760"/>
        <w:tab w:val="right" w:pos="10800"/>
      </w:tabs>
    </w:pPr>
  </w:style>
  <w:style w:type="character" w:customStyle="1" w:styleId="FooterChar">
    <w:name w:val="Footer Char"/>
    <w:basedOn w:val="DefaultParagraphFont"/>
    <w:link w:val="Footer"/>
    <w:rsid w:val="00D61F76"/>
    <w:rPr>
      <w:rFonts w:ascii="Times New Roman" w:eastAsia="Times New Roman" w:hAnsi="Times New Roman" w:cs="Times New Roman"/>
      <w:sz w:val="20"/>
      <w:szCs w:val="20"/>
      <w:lang w:val="en-GB" w:eastAsia="en-GB"/>
    </w:rPr>
  </w:style>
  <w:style w:type="paragraph" w:styleId="Header">
    <w:name w:val="header"/>
    <w:basedOn w:val="Normal"/>
    <w:next w:val="Footer"/>
    <w:link w:val="HeaderChar"/>
    <w:rsid w:val="00D61F76"/>
  </w:style>
  <w:style w:type="character" w:customStyle="1" w:styleId="HeaderChar">
    <w:name w:val="Header Char"/>
    <w:basedOn w:val="DefaultParagraphFont"/>
    <w:link w:val="Header"/>
    <w:rsid w:val="00D61F76"/>
    <w:rPr>
      <w:rFonts w:ascii="Times New Roman" w:eastAsia="Times New Roman" w:hAnsi="Times New Roman" w:cs="Times New Roman"/>
      <w:sz w:val="20"/>
      <w:szCs w:val="20"/>
      <w:lang w:val="en-GB" w:eastAsia="en-GB"/>
    </w:rPr>
  </w:style>
  <w:style w:type="paragraph" w:styleId="FootnoteText">
    <w:name w:val="footnote text"/>
    <w:basedOn w:val="Normal"/>
    <w:link w:val="FootnoteTextChar"/>
    <w:semiHidden/>
    <w:rsid w:val="00D61F76"/>
    <w:pPr>
      <w:ind w:firstLine="360"/>
    </w:pPr>
    <w:rPr>
      <w:sz w:val="16"/>
    </w:rPr>
  </w:style>
  <w:style w:type="character" w:customStyle="1" w:styleId="FootnoteTextChar">
    <w:name w:val="Footnote Text Char"/>
    <w:basedOn w:val="DefaultParagraphFont"/>
    <w:link w:val="FootnoteText"/>
    <w:semiHidden/>
    <w:rsid w:val="00D61F76"/>
    <w:rPr>
      <w:rFonts w:ascii="Times New Roman" w:eastAsia="Times New Roman" w:hAnsi="Times New Roman" w:cs="Times New Roman"/>
      <w:sz w:val="16"/>
      <w:szCs w:val="20"/>
      <w:lang w:val="en-GB" w:eastAsia="en-GB"/>
    </w:rPr>
  </w:style>
  <w:style w:type="paragraph" w:customStyle="1" w:styleId="NomenclatureClauseTitle">
    <w:name w:val="Nomenclature Clause Title"/>
    <w:basedOn w:val="Normal"/>
    <w:next w:val="BodyTextIndent"/>
    <w:rsid w:val="00D61F76"/>
    <w:pPr>
      <w:keepNext/>
      <w:spacing w:before="240"/>
    </w:pPr>
    <w:rPr>
      <w:rFonts w:ascii="Arial" w:hAnsi="Arial"/>
      <w:b/>
      <w:caps/>
    </w:rPr>
  </w:style>
  <w:style w:type="paragraph" w:customStyle="1" w:styleId="ReferencesClauseTitle">
    <w:name w:val="References Clause Title"/>
    <w:basedOn w:val="Normal"/>
    <w:next w:val="BodyTextIndent"/>
    <w:rsid w:val="00D61F76"/>
    <w:pPr>
      <w:keepNext/>
      <w:spacing w:before="240"/>
    </w:pPr>
    <w:rPr>
      <w:rFonts w:ascii="Arial" w:hAnsi="Arial"/>
      <w:b/>
      <w:caps/>
    </w:rPr>
  </w:style>
  <w:style w:type="paragraph" w:customStyle="1" w:styleId="GPPSTableCaption">
    <w:name w:val="GPPS Table Caption"/>
    <w:basedOn w:val="Normal"/>
    <w:next w:val="BodyTextIndent"/>
    <w:qFormat/>
    <w:rsid w:val="00D61F76"/>
    <w:pPr>
      <w:jc w:val="center"/>
    </w:pPr>
    <w:rPr>
      <w:rFonts w:ascii="Arial" w:hAnsi="Arial"/>
      <w:b/>
    </w:rPr>
  </w:style>
  <w:style w:type="paragraph" w:customStyle="1" w:styleId="GPPSAddress">
    <w:name w:val="GPPS Address"/>
    <w:basedOn w:val="GPPSEmailaddress"/>
    <w:link w:val="GPPSAddressChar"/>
    <w:qFormat/>
    <w:rsid w:val="00D61F76"/>
  </w:style>
  <w:style w:type="paragraph" w:customStyle="1" w:styleId="GPPSEquation">
    <w:name w:val="GPPS Equation"/>
    <w:basedOn w:val="BodyTextIndent"/>
    <w:link w:val="GPPSEquationChar"/>
    <w:qFormat/>
    <w:rsid w:val="00D61F76"/>
    <w:pPr>
      <w:spacing w:before="120" w:after="120" w:line="240" w:lineRule="auto"/>
      <w:ind w:firstLine="0"/>
      <w:jc w:val="center"/>
    </w:pPr>
  </w:style>
  <w:style w:type="paragraph" w:styleId="Title">
    <w:name w:val="Title"/>
    <w:aliases w:val="GPPS Title"/>
    <w:basedOn w:val="Normal"/>
    <w:link w:val="TitleChar"/>
    <w:qFormat/>
    <w:rsid w:val="00D61F76"/>
    <w:pPr>
      <w:spacing w:before="760"/>
      <w:jc w:val="center"/>
    </w:pPr>
    <w:rPr>
      <w:rFonts w:ascii="Arial" w:hAnsi="Arial"/>
      <w:b/>
      <w:caps/>
      <w:sz w:val="24"/>
    </w:rPr>
  </w:style>
  <w:style w:type="character" w:customStyle="1" w:styleId="TitleChar">
    <w:name w:val="Title Char"/>
    <w:aliases w:val="GPPS Title Char"/>
    <w:basedOn w:val="DefaultParagraphFont"/>
    <w:link w:val="Title"/>
    <w:rsid w:val="00D61F76"/>
    <w:rPr>
      <w:rFonts w:ascii="Arial" w:eastAsia="Times New Roman" w:hAnsi="Arial" w:cs="Times New Roman"/>
      <w:b/>
      <w:caps/>
      <w:sz w:val="24"/>
      <w:szCs w:val="20"/>
      <w:lang w:val="en-GB" w:eastAsia="en-GB"/>
    </w:rPr>
  </w:style>
  <w:style w:type="character" w:customStyle="1" w:styleId="GPPSEmailaddressChar">
    <w:name w:val="GPPS Email address Char"/>
    <w:basedOn w:val="AffiliationChar"/>
    <w:link w:val="GPPSEmailaddress"/>
    <w:rsid w:val="00D61F76"/>
    <w:rPr>
      <w:rFonts w:ascii="Arial" w:eastAsia="Times New Roman" w:hAnsi="Arial" w:cs="Times New Roman"/>
      <w:sz w:val="20"/>
      <w:szCs w:val="20"/>
      <w:lang w:val="en-GB" w:eastAsia="en-GB"/>
    </w:rPr>
  </w:style>
  <w:style w:type="paragraph" w:customStyle="1" w:styleId="GPPSEmailaddress">
    <w:name w:val="GPPS Email address"/>
    <w:basedOn w:val="Affiliation"/>
    <w:link w:val="GPPSEmailaddressChar"/>
    <w:qFormat/>
    <w:rsid w:val="00D61F76"/>
  </w:style>
  <w:style w:type="paragraph" w:customStyle="1" w:styleId="GPPSConferenceDetails">
    <w:name w:val="GPPS Conference Details"/>
    <w:basedOn w:val="Normal"/>
    <w:link w:val="GPPSConferenceDetailsChar"/>
    <w:qFormat/>
    <w:rsid w:val="00D61F76"/>
    <w:pPr>
      <w:jc w:val="right"/>
    </w:pPr>
    <w:rPr>
      <w:rFonts w:ascii="Arial" w:hAnsi="Arial" w:cs="Arial"/>
      <w:noProof/>
    </w:rPr>
  </w:style>
  <w:style w:type="character" w:customStyle="1" w:styleId="AffiliationChar">
    <w:name w:val="Affiliation Char"/>
    <w:basedOn w:val="DefaultParagraphFont"/>
    <w:link w:val="Affiliation"/>
    <w:rsid w:val="00D61F76"/>
    <w:rPr>
      <w:rFonts w:ascii="Arial" w:eastAsia="Times New Roman" w:hAnsi="Arial" w:cs="Times New Roman"/>
      <w:sz w:val="20"/>
      <w:szCs w:val="20"/>
      <w:lang w:val="en-GB" w:eastAsia="en-GB"/>
    </w:rPr>
  </w:style>
  <w:style w:type="character" w:customStyle="1" w:styleId="ContactinfoChar">
    <w:name w:val="Contact info Char"/>
    <w:basedOn w:val="AffiliationChar"/>
    <w:rsid w:val="00D61F76"/>
    <w:rPr>
      <w:rFonts w:ascii="Arial" w:eastAsia="Times New Roman" w:hAnsi="Arial" w:cs="Times New Roman"/>
      <w:sz w:val="20"/>
      <w:szCs w:val="20"/>
      <w:lang w:val="en-GB" w:eastAsia="en-GB"/>
    </w:rPr>
  </w:style>
  <w:style w:type="character" w:customStyle="1" w:styleId="GPPSConferenceDetailsChar">
    <w:name w:val="GPPS Conference Details Char"/>
    <w:basedOn w:val="DefaultParagraphFont"/>
    <w:link w:val="GPPSConferenceDetails"/>
    <w:rsid w:val="00D61F76"/>
    <w:rPr>
      <w:rFonts w:ascii="Arial" w:eastAsia="Times New Roman" w:hAnsi="Arial" w:cs="Arial"/>
      <w:noProof/>
      <w:sz w:val="20"/>
      <w:szCs w:val="20"/>
      <w:lang w:val="en-GB" w:eastAsia="en-GB"/>
    </w:rPr>
  </w:style>
  <w:style w:type="paragraph" w:customStyle="1" w:styleId="Heading1-topofcolumn">
    <w:name w:val="Heading 1 - top of column"/>
    <w:basedOn w:val="Heading1"/>
    <w:link w:val="Heading1-topofcolumnChar"/>
    <w:rsid w:val="00D61F76"/>
    <w:pPr>
      <w:spacing w:before="0"/>
    </w:pPr>
  </w:style>
  <w:style w:type="character" w:customStyle="1" w:styleId="GPPSAddressChar">
    <w:name w:val="GPPS Address Char"/>
    <w:basedOn w:val="GPPSEmailaddressChar"/>
    <w:link w:val="GPPSAddress"/>
    <w:rsid w:val="00D61F76"/>
    <w:rPr>
      <w:rFonts w:ascii="Arial" w:eastAsia="Times New Roman" w:hAnsi="Arial" w:cs="Times New Roman"/>
      <w:sz w:val="20"/>
      <w:szCs w:val="20"/>
      <w:lang w:val="en-GB" w:eastAsia="en-GB"/>
    </w:rPr>
  </w:style>
  <w:style w:type="character" w:customStyle="1" w:styleId="Heading1-topofcolumnChar">
    <w:name w:val="Heading 1 - top of column Char"/>
    <w:basedOn w:val="Heading1Char"/>
    <w:link w:val="Heading1-topofcolumn"/>
    <w:rsid w:val="00D61F76"/>
    <w:rPr>
      <w:rFonts w:ascii="Arial" w:eastAsia="Times New Roman" w:hAnsi="Arial" w:cs="Times New Roman"/>
      <w:b/>
      <w:caps/>
      <w:sz w:val="20"/>
      <w:szCs w:val="20"/>
      <w:lang w:val="en-GB" w:eastAsia="en-GB"/>
    </w:rPr>
  </w:style>
  <w:style w:type="paragraph" w:styleId="NoSpacing">
    <w:name w:val="No Spacing"/>
    <w:uiPriority w:val="1"/>
    <w:rsid w:val="00D61F76"/>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n-GB" w:eastAsia="en-GB"/>
    </w:rPr>
  </w:style>
  <w:style w:type="character" w:customStyle="1" w:styleId="GPPSEquationChar">
    <w:name w:val="GPPS Equation Char"/>
    <w:basedOn w:val="BodyTextIndentChar"/>
    <w:link w:val="GPPSEquation"/>
    <w:rsid w:val="00D61F76"/>
    <w:rPr>
      <w:rFonts w:ascii="Times New Roman" w:eastAsia="Times New Roman" w:hAnsi="Times New Roman" w:cs="Times New Roman"/>
      <w:sz w:val="20"/>
      <w:szCs w:val="20"/>
      <w:lang w:val="en-GB" w:eastAsia="en-GB"/>
    </w:rPr>
  </w:style>
  <w:style w:type="character" w:styleId="Hyperlink">
    <w:name w:val="Hyperlink"/>
    <w:basedOn w:val="DefaultParagraphFont"/>
    <w:rsid w:val="00D61F76"/>
    <w:rPr>
      <w:color w:val="0000FF"/>
      <w:u w:val="single"/>
    </w:rPr>
  </w:style>
  <w:style w:type="character" w:styleId="FollowedHyperlink">
    <w:name w:val="FollowedHyperlink"/>
    <w:basedOn w:val="DefaultParagraphFont"/>
    <w:rsid w:val="00D61F76"/>
    <w:rPr>
      <w:color w:val="800080"/>
      <w:u w:val="single"/>
    </w:rPr>
  </w:style>
  <w:style w:type="paragraph" w:styleId="NormalWeb">
    <w:name w:val="Normal (Web)"/>
    <w:basedOn w:val="Normal"/>
    <w:uiPriority w:val="99"/>
    <w:unhideWhenUsed/>
    <w:rsid w:val="00D61F76"/>
    <w:pPr>
      <w:suppressAutoHyphens w:val="0"/>
      <w:overflowPunct/>
      <w:autoSpaceDE/>
      <w:autoSpaceDN/>
      <w:adjustRightInd/>
      <w:spacing w:before="100" w:beforeAutospacing="1" w:after="100" w:afterAutospacing="1"/>
      <w:jc w:val="left"/>
      <w:textAlignment w:val="auto"/>
    </w:pPr>
    <w:rPr>
      <w:sz w:val="24"/>
      <w:szCs w:val="24"/>
    </w:rPr>
  </w:style>
  <w:style w:type="paragraph" w:customStyle="1" w:styleId="ConferenceDetails">
    <w:name w:val="Conference Details"/>
    <w:basedOn w:val="Normal"/>
    <w:link w:val="ConferenceDetailsChar"/>
    <w:qFormat/>
    <w:rsid w:val="00D61F76"/>
    <w:pPr>
      <w:jc w:val="right"/>
    </w:pPr>
    <w:rPr>
      <w:rFonts w:ascii="Arial" w:hAnsi="Arial" w:cs="Arial"/>
      <w:noProof/>
    </w:rPr>
  </w:style>
  <w:style w:type="character" w:customStyle="1" w:styleId="ConferenceDetailsChar">
    <w:name w:val="Conference Details Char"/>
    <w:basedOn w:val="DefaultParagraphFont"/>
    <w:link w:val="ConferenceDetails"/>
    <w:rsid w:val="00D61F76"/>
    <w:rPr>
      <w:rFonts w:ascii="Arial" w:eastAsia="Times New Roman" w:hAnsi="Arial" w:cs="Arial"/>
      <w:noProof/>
      <w:sz w:val="20"/>
      <w:szCs w:val="20"/>
      <w:lang w:val="en-GB" w:eastAsia="en-GB"/>
    </w:rPr>
  </w:style>
  <w:style w:type="paragraph" w:styleId="BalloonText">
    <w:name w:val="Balloon Text"/>
    <w:basedOn w:val="Normal"/>
    <w:link w:val="BalloonTextChar"/>
    <w:semiHidden/>
    <w:unhideWhenUsed/>
    <w:rsid w:val="00D61F76"/>
    <w:rPr>
      <w:rFonts w:ascii="Lucida Grande" w:hAnsi="Lucida Grande" w:cs="Lucida Grande"/>
      <w:sz w:val="18"/>
      <w:szCs w:val="18"/>
    </w:rPr>
  </w:style>
  <w:style w:type="character" w:customStyle="1" w:styleId="BalloonTextChar">
    <w:name w:val="Balloon Text Char"/>
    <w:basedOn w:val="DefaultParagraphFont"/>
    <w:link w:val="BalloonText"/>
    <w:semiHidden/>
    <w:rsid w:val="00D61F76"/>
    <w:rPr>
      <w:rFonts w:ascii="Lucida Grande" w:eastAsia="Times New Roman" w:hAnsi="Lucida Grande" w:cs="Lucida Grande"/>
      <w:sz w:val="18"/>
      <w:szCs w:val="18"/>
      <w:lang w:val="en-GB" w:eastAsia="en-GB"/>
    </w:rPr>
  </w:style>
  <w:style w:type="character" w:styleId="Strong">
    <w:name w:val="Strong"/>
    <w:basedOn w:val="DefaultParagraphFont"/>
    <w:uiPriority w:val="22"/>
    <w:qFormat/>
    <w:rsid w:val="00D61F76"/>
    <w:rPr>
      <w:b/>
      <w:bCs/>
    </w:rPr>
  </w:style>
  <w:style w:type="paragraph" w:styleId="Caption">
    <w:name w:val="caption"/>
    <w:basedOn w:val="Normal"/>
    <w:next w:val="Normal"/>
    <w:uiPriority w:val="35"/>
    <w:unhideWhenUsed/>
    <w:qFormat/>
    <w:rsid w:val="00D61F76"/>
    <w:pPr>
      <w:spacing w:after="200"/>
    </w:pPr>
    <w:rPr>
      <w:b/>
      <w:bCs/>
      <w:color w:val="4F81BD" w:themeColor="accent1"/>
      <w:sz w:val="18"/>
      <w:szCs w:val="18"/>
    </w:rPr>
  </w:style>
  <w:style w:type="table" w:styleId="TableGrid">
    <w:name w:val="Table Grid"/>
    <w:basedOn w:val="TableNormal"/>
    <w:uiPriority w:val="59"/>
    <w:rsid w:val="00D61F76"/>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D61F76"/>
    <w:rPr>
      <w:sz w:val="16"/>
      <w:szCs w:val="16"/>
    </w:rPr>
  </w:style>
  <w:style w:type="paragraph" w:styleId="CommentText">
    <w:name w:val="annotation text"/>
    <w:basedOn w:val="Normal"/>
    <w:link w:val="CommentTextChar"/>
    <w:rsid w:val="00D61F76"/>
  </w:style>
  <w:style w:type="character" w:customStyle="1" w:styleId="CommentTextChar">
    <w:name w:val="Comment Text Char"/>
    <w:basedOn w:val="DefaultParagraphFont"/>
    <w:link w:val="CommentText"/>
    <w:rsid w:val="00D61F76"/>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semiHidden/>
    <w:unhideWhenUsed/>
    <w:rsid w:val="00D61F76"/>
    <w:rPr>
      <w:b/>
      <w:bCs/>
    </w:rPr>
  </w:style>
  <w:style w:type="character" w:customStyle="1" w:styleId="CommentSubjectChar">
    <w:name w:val="Comment Subject Char"/>
    <w:basedOn w:val="CommentTextChar"/>
    <w:link w:val="CommentSubject"/>
    <w:semiHidden/>
    <w:rsid w:val="00D61F76"/>
    <w:rPr>
      <w:rFonts w:ascii="Times New Roman" w:eastAsia="Times New Roman" w:hAnsi="Times New Roman" w:cs="Times New Roman"/>
      <w:b/>
      <w:bCs/>
      <w:sz w:val="20"/>
      <w:szCs w:val="20"/>
      <w:lang w:val="en-GB" w:eastAsia="en-GB"/>
    </w:rPr>
  </w:style>
  <w:style w:type="paragraph" w:styleId="Revision">
    <w:name w:val="Revision"/>
    <w:hidden/>
    <w:uiPriority w:val="99"/>
    <w:semiHidden/>
    <w:rsid w:val="00D61F76"/>
    <w:pPr>
      <w:spacing w:after="0" w:line="240" w:lineRule="auto"/>
    </w:pPr>
    <w:rPr>
      <w:rFonts w:ascii="Times New Roman" w:eastAsia="Times New Roman" w:hAnsi="Times New Roman" w:cs="Times New Roman"/>
      <w:sz w:val="20"/>
      <w:szCs w:val="20"/>
      <w:lang w:val="en-GB" w:eastAsia="en-GB"/>
    </w:rPr>
  </w:style>
  <w:style w:type="character" w:styleId="Emphasis">
    <w:name w:val="Emphasis"/>
    <w:basedOn w:val="DefaultParagraphFont"/>
    <w:uiPriority w:val="20"/>
    <w:qFormat/>
    <w:rsid w:val="00D61F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4084</Words>
  <Characters>23282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Ciani Andrea</dc:creator>
  <cp:lastModifiedBy>Ciani Andrea</cp:lastModifiedBy>
  <cp:revision>5</cp:revision>
  <dcterms:created xsi:type="dcterms:W3CDTF">2019-04-15T15:13:00Z</dcterms:created>
  <dcterms:modified xsi:type="dcterms:W3CDTF">2019-04-18T12:59:00Z</dcterms:modified>
</cp:coreProperties>
</file>